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5DFA" w14:textId="010DD5B1" w:rsidR="00AB5D1B" w:rsidRDefault="00FF435C" w:rsidP="00855ECE">
      <w:pPr>
        <w:spacing w:after="0" w:line="240" w:lineRule="auto"/>
        <w:jc w:val="right"/>
        <w:rPr>
          <w:b/>
        </w:rPr>
      </w:pPr>
      <w:r>
        <w:rPr>
          <w:noProof/>
          <w:color w:val="0000CC"/>
          <w:sz w:val="24"/>
          <w:szCs w:val="24"/>
          <w:lang w:eastAsia="fr-FR"/>
        </w:rPr>
        <w:drawing>
          <wp:anchor distT="0" distB="0" distL="114300" distR="114300" simplePos="0" relativeHeight="251658242" behindDoc="0" locked="0" layoutInCell="1" allowOverlap="1" wp14:anchorId="0ACB97B5" wp14:editId="299783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0367" cy="772886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upe INP (couleur, RVB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367" cy="77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AB24E" w14:textId="02C52CD1" w:rsidR="00AB5D1B" w:rsidRDefault="00AB5D1B" w:rsidP="00855ECE">
      <w:pPr>
        <w:spacing w:after="0" w:line="240" w:lineRule="auto"/>
        <w:jc w:val="right"/>
        <w:rPr>
          <w:b/>
        </w:rPr>
      </w:pPr>
    </w:p>
    <w:p w14:paraId="3A6D4F0C" w14:textId="2DCD2449" w:rsidR="0057198F" w:rsidRPr="00CC3D39" w:rsidRDefault="0057198F" w:rsidP="00855ECE">
      <w:pPr>
        <w:spacing w:after="0" w:line="240" w:lineRule="auto"/>
        <w:ind w:left="7080"/>
        <w:jc w:val="right"/>
        <w:rPr>
          <w:b/>
        </w:rPr>
      </w:pPr>
      <w:r>
        <w:rPr>
          <w:b/>
        </w:rPr>
        <w:t>C</w:t>
      </w:r>
      <w:r w:rsidRPr="00CC3D39">
        <w:rPr>
          <w:b/>
        </w:rPr>
        <w:t xml:space="preserve">ommuniqué de </w:t>
      </w:r>
      <w:r>
        <w:rPr>
          <w:b/>
        </w:rPr>
        <w:t>P</w:t>
      </w:r>
      <w:r w:rsidRPr="00CC3D39">
        <w:rPr>
          <w:b/>
        </w:rPr>
        <w:t>ress</w:t>
      </w:r>
      <w:r w:rsidR="00AB5D1B">
        <w:rPr>
          <w:b/>
        </w:rPr>
        <w:t>e</w:t>
      </w:r>
    </w:p>
    <w:p w14:paraId="61FC7F2B" w14:textId="3E738DB9" w:rsidR="003D11D5" w:rsidRDefault="00AB5D1B" w:rsidP="00855ECE">
      <w:pPr>
        <w:spacing w:after="0" w:line="240" w:lineRule="auto"/>
        <w:ind w:left="6372"/>
        <w:jc w:val="right"/>
      </w:pPr>
      <w:r>
        <w:t xml:space="preserve">      </w:t>
      </w:r>
      <w:r w:rsidR="00113E87">
        <w:t>Paris</w:t>
      </w:r>
      <w:r w:rsidR="003D11D5" w:rsidRPr="002A77B6">
        <w:t xml:space="preserve">, </w:t>
      </w:r>
      <w:r w:rsidR="007B2276">
        <w:t>11 juillet</w:t>
      </w:r>
      <w:r w:rsidR="00FF2882">
        <w:t xml:space="preserve"> 202</w:t>
      </w:r>
      <w:r w:rsidR="00F53A16">
        <w:t>2</w:t>
      </w:r>
    </w:p>
    <w:p w14:paraId="0E7E58D4" w14:textId="0D894994" w:rsidR="0057198F" w:rsidRDefault="0057198F" w:rsidP="00855ECE">
      <w:pPr>
        <w:spacing w:after="0" w:line="240" w:lineRule="auto"/>
        <w:jc w:val="center"/>
      </w:pPr>
    </w:p>
    <w:p w14:paraId="59002B62" w14:textId="77777777" w:rsidR="0064364A" w:rsidRPr="00A25562" w:rsidRDefault="0064364A" w:rsidP="00855ECE">
      <w:pPr>
        <w:spacing w:after="0" w:line="240" w:lineRule="auto"/>
        <w:jc w:val="center"/>
        <w:rPr>
          <w:b/>
          <w:sz w:val="16"/>
          <w:szCs w:val="16"/>
        </w:rPr>
      </w:pPr>
    </w:p>
    <w:p w14:paraId="20226BD9" w14:textId="35CCFBDC" w:rsidR="0057198F" w:rsidRPr="00AE4340" w:rsidRDefault="00D144A9" w:rsidP="00855ECE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AE4340">
        <w:rPr>
          <w:b/>
          <w:color w:val="00B0F0"/>
          <w:sz w:val="32"/>
          <w:szCs w:val="32"/>
        </w:rPr>
        <w:t>Toulouse INP quitte le Groupe INP</w:t>
      </w:r>
    </w:p>
    <w:p w14:paraId="20E9C0F2" w14:textId="50EAFC99" w:rsidR="00D144A9" w:rsidRPr="00AE4340" w:rsidRDefault="009F7C13" w:rsidP="00855ECE">
      <w:pPr>
        <w:spacing w:after="0" w:line="240" w:lineRule="auto"/>
        <w:jc w:val="center"/>
        <w:rPr>
          <w:b/>
          <w:color w:val="00B0F0"/>
          <w:sz w:val="36"/>
          <w:szCs w:val="36"/>
        </w:rPr>
      </w:pPr>
      <w:r w:rsidRPr="00AE4340">
        <w:rPr>
          <w:b/>
          <w:color w:val="00B0F0"/>
          <w:sz w:val="36"/>
          <w:szCs w:val="36"/>
        </w:rPr>
        <w:t xml:space="preserve">Les INP </w:t>
      </w:r>
      <w:r w:rsidR="0064364A" w:rsidRPr="00AE4340">
        <w:rPr>
          <w:b/>
          <w:color w:val="00B0F0"/>
          <w:sz w:val="36"/>
          <w:szCs w:val="36"/>
        </w:rPr>
        <w:t>réaffirme</w:t>
      </w:r>
      <w:r w:rsidR="00376F65" w:rsidRPr="00AE4340">
        <w:rPr>
          <w:b/>
          <w:color w:val="00B0F0"/>
          <w:sz w:val="36"/>
          <w:szCs w:val="36"/>
        </w:rPr>
        <w:t>nt</w:t>
      </w:r>
      <w:r w:rsidR="0064364A" w:rsidRPr="00AE4340">
        <w:rPr>
          <w:b/>
          <w:color w:val="00B0F0"/>
          <w:sz w:val="36"/>
          <w:szCs w:val="36"/>
        </w:rPr>
        <w:t xml:space="preserve"> la pertinence d</w:t>
      </w:r>
      <w:r w:rsidR="00376F65" w:rsidRPr="00AE4340">
        <w:rPr>
          <w:b/>
          <w:color w:val="00B0F0"/>
          <w:sz w:val="36"/>
          <w:szCs w:val="36"/>
        </w:rPr>
        <w:t>e leur</w:t>
      </w:r>
      <w:r w:rsidR="0064364A" w:rsidRPr="00AE4340">
        <w:rPr>
          <w:b/>
          <w:color w:val="00B0F0"/>
          <w:sz w:val="36"/>
          <w:szCs w:val="36"/>
        </w:rPr>
        <w:t xml:space="preserve"> modèle</w:t>
      </w:r>
    </w:p>
    <w:p w14:paraId="72808734" w14:textId="77777777" w:rsidR="009F7C13" w:rsidRDefault="009F7C13" w:rsidP="00855ECE">
      <w:pPr>
        <w:spacing w:after="0" w:line="240" w:lineRule="auto"/>
        <w:jc w:val="both"/>
      </w:pPr>
    </w:p>
    <w:p w14:paraId="4369B7CE" w14:textId="3D54C75B" w:rsidR="00E40284" w:rsidRPr="00592D35" w:rsidRDefault="0006557A" w:rsidP="00855E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9F7C13" w:rsidRPr="00592D35">
        <w:rPr>
          <w:rFonts w:cstheme="minorHAnsi"/>
        </w:rPr>
        <w:t>Groupe INP pren</w:t>
      </w:r>
      <w:r w:rsidR="005E400E">
        <w:rPr>
          <w:rFonts w:cstheme="minorHAnsi"/>
        </w:rPr>
        <w:t>d</w:t>
      </w:r>
      <w:r w:rsidR="009F7C13" w:rsidRPr="00592D35">
        <w:rPr>
          <w:rFonts w:cstheme="minorHAnsi"/>
        </w:rPr>
        <w:t xml:space="preserve"> acte de la décision de Toulouse INP de quitter la famille des INP</w:t>
      </w:r>
      <w:r>
        <w:rPr>
          <w:rFonts w:cstheme="minorHAnsi"/>
        </w:rPr>
        <w:t xml:space="preserve">, qu’il </w:t>
      </w:r>
      <w:r w:rsidR="009839A3">
        <w:rPr>
          <w:rFonts w:cstheme="minorHAnsi"/>
        </w:rPr>
        <w:t>regrette</w:t>
      </w:r>
      <w:r w:rsidR="009F7C13" w:rsidRPr="0006557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44FC5">
        <w:rPr>
          <w:rFonts w:cstheme="minorHAnsi"/>
        </w:rPr>
        <w:t>L</w:t>
      </w:r>
      <w:r>
        <w:rPr>
          <w:rFonts w:cstheme="minorHAnsi"/>
        </w:rPr>
        <w:t xml:space="preserve">es </w:t>
      </w:r>
      <w:r w:rsidR="00244FC5">
        <w:rPr>
          <w:rFonts w:cstheme="minorHAnsi"/>
        </w:rPr>
        <w:t xml:space="preserve">autres </w:t>
      </w:r>
      <w:r w:rsidR="00560B20">
        <w:rPr>
          <w:rFonts w:cstheme="minorHAnsi"/>
        </w:rPr>
        <w:t>établissements</w:t>
      </w:r>
      <w:r>
        <w:rPr>
          <w:rFonts w:cstheme="minorHAnsi"/>
        </w:rPr>
        <w:t xml:space="preserve"> du </w:t>
      </w:r>
      <w:r>
        <w:rPr>
          <w:rFonts w:eastAsia="Times New Roman" w:cstheme="minorHAnsi"/>
          <w:color w:val="000000"/>
          <w:lang w:eastAsia="fr-FR"/>
        </w:rPr>
        <w:t>G</w:t>
      </w:r>
      <w:r w:rsidRPr="0006557A">
        <w:rPr>
          <w:rFonts w:eastAsia="Times New Roman" w:cstheme="minorHAnsi"/>
          <w:color w:val="000000"/>
          <w:lang w:eastAsia="fr-FR"/>
        </w:rPr>
        <w:t>roupe INP réaffirme</w:t>
      </w:r>
      <w:r w:rsidR="00560B20">
        <w:rPr>
          <w:rFonts w:eastAsia="Times New Roman" w:cstheme="minorHAnsi"/>
          <w:color w:val="000000"/>
          <w:lang w:eastAsia="fr-FR"/>
        </w:rPr>
        <w:t>nt</w:t>
      </w:r>
      <w:r w:rsidRPr="0006557A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leur</w:t>
      </w:r>
      <w:r w:rsidRPr="0006557A">
        <w:rPr>
          <w:rFonts w:eastAsia="Times New Roman" w:cstheme="minorHAnsi"/>
          <w:color w:val="000000"/>
          <w:lang w:eastAsia="fr-FR"/>
        </w:rPr>
        <w:t xml:space="preserve"> attachement et </w:t>
      </w:r>
      <w:r>
        <w:rPr>
          <w:rFonts w:eastAsia="Times New Roman" w:cstheme="minorHAnsi"/>
          <w:color w:val="000000"/>
          <w:lang w:eastAsia="fr-FR"/>
        </w:rPr>
        <w:t>leur</w:t>
      </w:r>
      <w:r w:rsidRPr="0006557A">
        <w:rPr>
          <w:rFonts w:eastAsia="Times New Roman" w:cstheme="minorHAnsi"/>
          <w:color w:val="000000"/>
          <w:lang w:eastAsia="fr-FR"/>
        </w:rPr>
        <w:t xml:space="preserve"> confiance dans la pertinence du modèle INP</w:t>
      </w:r>
      <w:r>
        <w:rPr>
          <w:rFonts w:eastAsia="Times New Roman" w:cstheme="minorHAnsi"/>
          <w:color w:val="000000"/>
          <w:lang w:eastAsia="fr-FR"/>
        </w:rPr>
        <w:t xml:space="preserve">. </w:t>
      </w:r>
    </w:p>
    <w:p w14:paraId="7843BEBC" w14:textId="77777777" w:rsidR="00E40284" w:rsidRPr="00592D35" w:rsidRDefault="00E40284" w:rsidP="00855ECE">
      <w:pPr>
        <w:spacing w:after="0" w:line="240" w:lineRule="auto"/>
        <w:jc w:val="both"/>
        <w:rPr>
          <w:rFonts w:cstheme="minorHAnsi"/>
        </w:rPr>
      </w:pPr>
    </w:p>
    <w:p w14:paraId="5B5EB627" w14:textId="36F83369" w:rsidR="007C44E0" w:rsidRPr="00592D35" w:rsidRDefault="007C44E0" w:rsidP="007C44E0">
      <w:pPr>
        <w:spacing w:after="0" w:line="240" w:lineRule="auto"/>
        <w:jc w:val="both"/>
        <w:rPr>
          <w:rFonts w:cstheme="minorHAnsi"/>
        </w:rPr>
      </w:pPr>
      <w:r w:rsidRPr="00592D35">
        <w:rPr>
          <w:rFonts w:cstheme="minorHAnsi"/>
        </w:rPr>
        <w:t>Pour les directeurs des</w:t>
      </w:r>
      <w:r w:rsidR="0066452D">
        <w:rPr>
          <w:rFonts w:cstheme="minorHAnsi"/>
        </w:rPr>
        <w:t xml:space="preserve"> </w:t>
      </w:r>
      <w:r w:rsidRPr="00592D35">
        <w:rPr>
          <w:rFonts w:cstheme="minorHAnsi"/>
        </w:rPr>
        <w:t>INP</w:t>
      </w:r>
      <w:r w:rsidR="0066452D">
        <w:rPr>
          <w:rFonts w:cstheme="minorHAnsi"/>
        </w:rPr>
        <w:t xml:space="preserve"> </w:t>
      </w:r>
      <w:r w:rsidR="00F94FB3">
        <w:rPr>
          <w:rFonts w:cstheme="minorHAnsi"/>
        </w:rPr>
        <w:t xml:space="preserve">de Bordeaux, Clermont-Auvergne, Grenoble, et Lorraine </w:t>
      </w:r>
      <w:r w:rsidRPr="00592D35">
        <w:rPr>
          <w:rFonts w:cstheme="minorHAnsi"/>
        </w:rPr>
        <w:t>: « </w:t>
      </w:r>
      <w:r w:rsidR="00777560" w:rsidRPr="002344DF">
        <w:rPr>
          <w:rFonts w:cstheme="minorHAnsi"/>
          <w:i/>
          <w:iCs/>
        </w:rPr>
        <w:t>Le modèle des INP est</w:t>
      </w:r>
      <w:r w:rsidR="0006557A" w:rsidRPr="002344DF">
        <w:rPr>
          <w:rFonts w:cstheme="minorHAnsi"/>
          <w:i/>
          <w:iCs/>
        </w:rPr>
        <w:t xml:space="preserve"> unique en France.</w:t>
      </w:r>
      <w:r w:rsidR="000929A9" w:rsidRPr="002344DF">
        <w:rPr>
          <w:rFonts w:cstheme="minorHAnsi"/>
          <w:i/>
          <w:iCs/>
        </w:rPr>
        <w:t xml:space="preserve"> D’abord,</w:t>
      </w:r>
      <w:r w:rsidR="00FB428C">
        <w:rPr>
          <w:rFonts w:cstheme="minorHAnsi"/>
          <w:i/>
          <w:iCs/>
        </w:rPr>
        <w:t xml:space="preserve"> parce que</w:t>
      </w:r>
      <w:r w:rsidR="000929A9" w:rsidRPr="002344DF">
        <w:rPr>
          <w:rFonts w:cstheme="minorHAnsi"/>
          <w:i/>
          <w:iCs/>
        </w:rPr>
        <w:t xml:space="preserve"> l</w:t>
      </w:r>
      <w:r w:rsidR="00804B73" w:rsidRPr="002344DF">
        <w:rPr>
          <w:rFonts w:cstheme="minorHAnsi"/>
          <w:i/>
          <w:iCs/>
        </w:rPr>
        <w:t xml:space="preserve">es </w:t>
      </w:r>
      <w:r w:rsidR="00CA2307" w:rsidRPr="002344DF">
        <w:rPr>
          <w:rFonts w:cstheme="minorHAnsi"/>
          <w:i/>
          <w:iCs/>
        </w:rPr>
        <w:t xml:space="preserve">spécialités </w:t>
      </w:r>
      <w:r w:rsidR="000929A9" w:rsidRPr="002344DF">
        <w:rPr>
          <w:rFonts w:cstheme="minorHAnsi"/>
          <w:i/>
          <w:iCs/>
        </w:rPr>
        <w:t>des</w:t>
      </w:r>
      <w:r w:rsidR="001B147E" w:rsidRPr="002344DF">
        <w:rPr>
          <w:rFonts w:cstheme="minorHAnsi"/>
          <w:i/>
          <w:iCs/>
        </w:rPr>
        <w:t xml:space="preserve"> écoles</w:t>
      </w:r>
      <w:r w:rsidR="000929A9" w:rsidRPr="002344DF">
        <w:rPr>
          <w:rFonts w:cstheme="minorHAnsi"/>
          <w:i/>
          <w:iCs/>
        </w:rPr>
        <w:t xml:space="preserve"> du Groupe </w:t>
      </w:r>
      <w:r w:rsidR="00CA2307" w:rsidRPr="002344DF">
        <w:rPr>
          <w:rFonts w:cstheme="minorHAnsi"/>
          <w:i/>
          <w:iCs/>
        </w:rPr>
        <w:t xml:space="preserve">couvrent </w:t>
      </w:r>
      <w:r w:rsidR="004929F7">
        <w:rPr>
          <w:rFonts w:cstheme="minorHAnsi"/>
          <w:i/>
          <w:iCs/>
        </w:rPr>
        <w:t>tous les</w:t>
      </w:r>
      <w:r w:rsidR="00CA2307" w:rsidRPr="002344DF">
        <w:rPr>
          <w:rFonts w:cstheme="minorHAnsi"/>
          <w:i/>
          <w:iCs/>
        </w:rPr>
        <w:t xml:space="preserve"> cham</w:t>
      </w:r>
      <w:r w:rsidR="00A90D3B" w:rsidRPr="002344DF">
        <w:rPr>
          <w:rFonts w:cstheme="minorHAnsi"/>
          <w:i/>
          <w:iCs/>
        </w:rPr>
        <w:t>p</w:t>
      </w:r>
      <w:r w:rsidR="00CA2307" w:rsidRPr="002344DF">
        <w:rPr>
          <w:rFonts w:cstheme="minorHAnsi"/>
          <w:i/>
          <w:iCs/>
        </w:rPr>
        <w:t>s disciplinaires de l’ingénieri</w:t>
      </w:r>
      <w:r w:rsidR="00775564" w:rsidRPr="002344DF">
        <w:rPr>
          <w:rFonts w:cstheme="minorHAnsi"/>
          <w:i/>
          <w:iCs/>
        </w:rPr>
        <w:t>e</w:t>
      </w:r>
      <w:r w:rsidR="000929A9" w:rsidRPr="002344DF">
        <w:rPr>
          <w:rFonts w:cstheme="minorHAnsi"/>
          <w:i/>
          <w:iCs/>
        </w:rPr>
        <w:t xml:space="preserve">. Le Groupe </w:t>
      </w:r>
      <w:r w:rsidR="00BF3D37">
        <w:rPr>
          <w:rFonts w:cstheme="minorHAnsi"/>
          <w:i/>
          <w:iCs/>
        </w:rPr>
        <w:t>répond ainsi</w:t>
      </w:r>
      <w:r w:rsidR="00191C5E" w:rsidRPr="002344DF">
        <w:rPr>
          <w:rFonts w:cstheme="minorHAnsi"/>
          <w:i/>
          <w:iCs/>
        </w:rPr>
        <w:t xml:space="preserve"> </w:t>
      </w:r>
      <w:r w:rsidR="005D46CF" w:rsidRPr="002344DF">
        <w:rPr>
          <w:rFonts w:cstheme="minorHAnsi"/>
          <w:i/>
          <w:iCs/>
        </w:rPr>
        <w:t>aux</w:t>
      </w:r>
      <w:r w:rsidR="00191C5E" w:rsidRPr="002344DF">
        <w:rPr>
          <w:rFonts w:cstheme="minorHAnsi"/>
          <w:i/>
          <w:iCs/>
        </w:rPr>
        <w:t xml:space="preserve"> besoins des entreprises</w:t>
      </w:r>
      <w:r w:rsidR="00FD4A2C" w:rsidRPr="002344DF">
        <w:rPr>
          <w:rFonts w:cstheme="minorHAnsi"/>
          <w:i/>
          <w:iCs/>
        </w:rPr>
        <w:t xml:space="preserve"> </w:t>
      </w:r>
      <w:r w:rsidR="005D46CF" w:rsidRPr="002344DF">
        <w:rPr>
          <w:rFonts w:cstheme="minorHAnsi"/>
          <w:i/>
          <w:iCs/>
        </w:rPr>
        <w:t>de tou</w:t>
      </w:r>
      <w:r w:rsidR="0041267D">
        <w:rPr>
          <w:rFonts w:cstheme="minorHAnsi"/>
          <w:i/>
          <w:iCs/>
        </w:rPr>
        <w:t>s les</w:t>
      </w:r>
      <w:r w:rsidR="005D46CF" w:rsidRPr="002344DF">
        <w:rPr>
          <w:rFonts w:cstheme="minorHAnsi"/>
          <w:i/>
          <w:iCs/>
        </w:rPr>
        <w:t xml:space="preserve"> </w:t>
      </w:r>
      <w:r w:rsidR="00BF3D37">
        <w:rPr>
          <w:rFonts w:cstheme="minorHAnsi"/>
          <w:i/>
          <w:iCs/>
        </w:rPr>
        <w:t>secteur</w:t>
      </w:r>
      <w:r w:rsidR="0041267D">
        <w:rPr>
          <w:rFonts w:cstheme="minorHAnsi"/>
          <w:i/>
          <w:iCs/>
        </w:rPr>
        <w:t>s</w:t>
      </w:r>
      <w:r w:rsidR="00BF3D37">
        <w:rPr>
          <w:rFonts w:cstheme="minorHAnsi"/>
          <w:i/>
          <w:iCs/>
        </w:rPr>
        <w:t xml:space="preserve"> et </w:t>
      </w:r>
      <w:r w:rsidR="001F3AC5">
        <w:rPr>
          <w:rFonts w:cstheme="minorHAnsi"/>
          <w:i/>
          <w:iCs/>
        </w:rPr>
        <w:t xml:space="preserve">il </w:t>
      </w:r>
      <w:r w:rsidR="00BF3D37">
        <w:rPr>
          <w:rFonts w:cstheme="minorHAnsi"/>
          <w:i/>
          <w:iCs/>
        </w:rPr>
        <w:t>participe au</w:t>
      </w:r>
      <w:r w:rsidR="00FD4A2C" w:rsidRPr="002344DF">
        <w:rPr>
          <w:rFonts w:cstheme="minorHAnsi"/>
          <w:i/>
          <w:iCs/>
        </w:rPr>
        <w:t xml:space="preserve"> développement économique et sociétal</w:t>
      </w:r>
      <w:r w:rsidR="00BF3D37">
        <w:rPr>
          <w:rFonts w:cstheme="minorHAnsi"/>
          <w:i/>
          <w:iCs/>
        </w:rPr>
        <w:t xml:space="preserve"> de la France</w:t>
      </w:r>
      <w:r w:rsidR="001B147E" w:rsidRPr="002344DF">
        <w:rPr>
          <w:rFonts w:cstheme="minorHAnsi"/>
          <w:i/>
          <w:iCs/>
        </w:rPr>
        <w:t xml:space="preserve">. </w:t>
      </w:r>
      <w:r w:rsidR="00225B3E">
        <w:rPr>
          <w:rFonts w:cstheme="minorHAnsi"/>
          <w:i/>
          <w:iCs/>
        </w:rPr>
        <w:t>Par ailleurs</w:t>
      </w:r>
      <w:r w:rsidR="00DA213F" w:rsidRPr="002344DF">
        <w:rPr>
          <w:rFonts w:cstheme="minorHAnsi"/>
          <w:i/>
          <w:iCs/>
        </w:rPr>
        <w:t>, grâce à sa Prépa</w:t>
      </w:r>
      <w:r w:rsidR="00D03837" w:rsidRPr="00D03837">
        <w:rPr>
          <w:rFonts w:cstheme="minorHAnsi"/>
          <w:i/>
          <w:iCs/>
        </w:rPr>
        <w:t xml:space="preserve"> </w:t>
      </w:r>
      <w:r w:rsidR="00D03837" w:rsidRPr="002344DF">
        <w:rPr>
          <w:rFonts w:cstheme="minorHAnsi"/>
          <w:i/>
          <w:iCs/>
        </w:rPr>
        <w:t>commune à toutes les écoles</w:t>
      </w:r>
      <w:r w:rsidR="00571E7F">
        <w:rPr>
          <w:rFonts w:cstheme="minorHAnsi"/>
          <w:i/>
          <w:iCs/>
        </w:rPr>
        <w:t xml:space="preserve">, </w:t>
      </w:r>
      <w:r w:rsidR="00225B3E">
        <w:rPr>
          <w:rFonts w:cstheme="minorHAnsi"/>
          <w:i/>
          <w:iCs/>
        </w:rPr>
        <w:t xml:space="preserve">et </w:t>
      </w:r>
      <w:r w:rsidR="00571E7F">
        <w:rPr>
          <w:rFonts w:cstheme="minorHAnsi"/>
          <w:i/>
          <w:iCs/>
        </w:rPr>
        <w:t xml:space="preserve">implantée dans </w:t>
      </w:r>
      <w:r w:rsidR="000433E5">
        <w:rPr>
          <w:rFonts w:cstheme="minorHAnsi"/>
          <w:i/>
          <w:iCs/>
        </w:rPr>
        <w:t>9</w:t>
      </w:r>
      <w:r w:rsidR="00571E7F">
        <w:rPr>
          <w:rFonts w:cstheme="minorHAnsi"/>
          <w:i/>
          <w:iCs/>
        </w:rPr>
        <w:t xml:space="preserve"> villes</w:t>
      </w:r>
      <w:r w:rsidR="00350298" w:rsidRPr="002344DF">
        <w:rPr>
          <w:rFonts w:cstheme="minorHAnsi"/>
          <w:i/>
          <w:iCs/>
        </w:rPr>
        <w:t>,</w:t>
      </w:r>
      <w:r w:rsidR="00DA213F" w:rsidRPr="002344DF">
        <w:rPr>
          <w:rFonts w:cstheme="minorHAnsi"/>
          <w:i/>
          <w:iCs/>
        </w:rPr>
        <w:t xml:space="preserve"> </w:t>
      </w:r>
      <w:r w:rsidR="00155808">
        <w:rPr>
          <w:rFonts w:cstheme="minorHAnsi"/>
          <w:i/>
          <w:iCs/>
        </w:rPr>
        <w:t>le Groupe INP</w:t>
      </w:r>
      <w:r w:rsidRPr="002344DF">
        <w:rPr>
          <w:rFonts w:cstheme="minorHAnsi"/>
          <w:i/>
          <w:iCs/>
        </w:rPr>
        <w:t xml:space="preserve"> </w:t>
      </w:r>
      <w:r w:rsidR="00D03837">
        <w:rPr>
          <w:rFonts w:cstheme="minorHAnsi"/>
          <w:i/>
          <w:iCs/>
        </w:rPr>
        <w:t>est le</w:t>
      </w:r>
      <w:r w:rsidRPr="002344DF">
        <w:rPr>
          <w:rFonts w:cstheme="minorHAnsi"/>
          <w:i/>
          <w:iCs/>
        </w:rPr>
        <w:t xml:space="preserve"> garant d’une offre de formation à forte ouverture sociale.</w:t>
      </w:r>
      <w:r w:rsidRPr="00592D35">
        <w:rPr>
          <w:rFonts w:eastAsia="Times New Roman" w:cstheme="minorHAnsi"/>
          <w:i/>
          <w:iCs/>
          <w:color w:val="000000"/>
          <w:lang w:eastAsia="fr-FR"/>
        </w:rPr>
        <w:t xml:space="preserve"> </w:t>
      </w:r>
      <w:r w:rsidR="00261120">
        <w:rPr>
          <w:rFonts w:eastAsia="Times New Roman" w:cstheme="minorHAnsi"/>
          <w:i/>
          <w:iCs/>
          <w:color w:val="000000"/>
          <w:lang w:eastAsia="fr-FR"/>
        </w:rPr>
        <w:t xml:space="preserve">Cette Prépa commune </w:t>
      </w:r>
      <w:r w:rsidR="006C2318" w:rsidRPr="006C2318">
        <w:rPr>
          <w:rFonts w:eastAsia="Times New Roman" w:cstheme="minorHAnsi"/>
          <w:i/>
          <w:iCs/>
          <w:color w:val="000000"/>
          <w:lang w:eastAsia="fr-FR"/>
        </w:rPr>
        <w:t xml:space="preserve">permet </w:t>
      </w:r>
      <w:r w:rsidR="00261120">
        <w:rPr>
          <w:rFonts w:eastAsia="Times New Roman" w:cstheme="minorHAnsi"/>
          <w:i/>
          <w:iCs/>
          <w:color w:val="000000"/>
          <w:lang w:eastAsia="fr-FR"/>
        </w:rPr>
        <w:t xml:space="preserve">en effet </w:t>
      </w:r>
      <w:r w:rsidR="006C2318" w:rsidRPr="006C2318">
        <w:rPr>
          <w:rFonts w:eastAsia="Times New Roman" w:cstheme="minorHAnsi"/>
          <w:i/>
          <w:iCs/>
          <w:color w:val="000000"/>
          <w:lang w:eastAsia="fr-FR"/>
        </w:rPr>
        <w:t>aux jeunes de toutes les origines sociales d’accéder à des formations d’ingénieurs de haute qualité.</w:t>
      </w:r>
      <w:r w:rsidR="006C2318">
        <w:rPr>
          <w:rFonts w:eastAsia="Times New Roman" w:cstheme="minorHAnsi"/>
          <w:i/>
          <w:iCs/>
          <w:color w:val="000000"/>
          <w:lang w:eastAsia="fr-FR"/>
        </w:rPr>
        <w:t xml:space="preserve"> </w:t>
      </w:r>
      <w:r w:rsidR="004F326B">
        <w:rPr>
          <w:rFonts w:eastAsia="Times New Roman" w:cstheme="minorHAnsi"/>
          <w:i/>
          <w:iCs/>
          <w:color w:val="000000"/>
          <w:lang w:eastAsia="fr-FR"/>
        </w:rPr>
        <w:t xml:space="preserve">Enfin, </w:t>
      </w:r>
      <w:r w:rsidR="00737395">
        <w:rPr>
          <w:rFonts w:cstheme="minorHAnsi"/>
          <w:i/>
          <w:iCs/>
        </w:rPr>
        <w:t>l</w:t>
      </w:r>
      <w:r w:rsidR="00533399" w:rsidRPr="00592D35">
        <w:rPr>
          <w:rFonts w:cstheme="minorHAnsi"/>
          <w:i/>
          <w:iCs/>
        </w:rPr>
        <w:t xml:space="preserve">’ingénieur INP, humaniste et porteur d’une forte expertise scientifique et technologique, </w:t>
      </w:r>
      <w:r w:rsidR="0038115A">
        <w:rPr>
          <w:rFonts w:cstheme="minorHAnsi"/>
          <w:i/>
          <w:iCs/>
        </w:rPr>
        <w:t xml:space="preserve">contribue activement au </w:t>
      </w:r>
      <w:r w:rsidR="00533399" w:rsidRPr="00592D35">
        <w:rPr>
          <w:rFonts w:cstheme="minorHAnsi"/>
          <w:i/>
          <w:iCs/>
        </w:rPr>
        <w:t>développement des savoirs et des entreprises.</w:t>
      </w:r>
      <w:r w:rsidR="003D3EB8">
        <w:rPr>
          <w:rFonts w:cstheme="minorHAnsi"/>
          <w:i/>
          <w:iCs/>
        </w:rPr>
        <w:t xml:space="preserve"> </w:t>
      </w:r>
      <w:r w:rsidR="00513143">
        <w:rPr>
          <w:rFonts w:cstheme="minorHAnsi"/>
          <w:i/>
          <w:iCs/>
        </w:rPr>
        <w:t xml:space="preserve">Ajoutons que </w:t>
      </w:r>
      <w:r w:rsidR="00EC6742">
        <w:rPr>
          <w:rFonts w:cstheme="minorHAnsi"/>
          <w:i/>
          <w:iCs/>
        </w:rPr>
        <w:t>les</w:t>
      </w:r>
      <w:r w:rsidR="00095A05">
        <w:rPr>
          <w:rFonts w:cstheme="minorHAnsi"/>
          <w:i/>
          <w:iCs/>
        </w:rPr>
        <w:t xml:space="preserve"> établissements </w:t>
      </w:r>
      <w:r w:rsidRPr="00592D35">
        <w:rPr>
          <w:rFonts w:cstheme="minorHAnsi"/>
          <w:i/>
          <w:iCs/>
        </w:rPr>
        <w:t xml:space="preserve">du Groupe </w:t>
      </w:r>
      <w:r w:rsidR="00095A05">
        <w:rPr>
          <w:rFonts w:cstheme="minorHAnsi"/>
          <w:i/>
          <w:iCs/>
        </w:rPr>
        <w:t>conserve</w:t>
      </w:r>
      <w:r w:rsidR="00EC6742">
        <w:rPr>
          <w:rFonts w:cstheme="minorHAnsi"/>
          <w:i/>
          <w:iCs/>
        </w:rPr>
        <w:t>nt toute</w:t>
      </w:r>
      <w:r w:rsidR="00095A05">
        <w:rPr>
          <w:rFonts w:cstheme="minorHAnsi"/>
          <w:i/>
          <w:iCs/>
        </w:rPr>
        <w:t xml:space="preserve"> leur</w:t>
      </w:r>
      <w:r w:rsidRPr="00592D35">
        <w:rPr>
          <w:rFonts w:cstheme="minorHAnsi"/>
          <w:i/>
          <w:iCs/>
        </w:rPr>
        <w:t xml:space="preserve"> autonom</w:t>
      </w:r>
      <w:r w:rsidR="00095A05">
        <w:rPr>
          <w:rFonts w:cstheme="minorHAnsi"/>
          <w:i/>
          <w:iCs/>
        </w:rPr>
        <w:t>ie</w:t>
      </w:r>
      <w:r w:rsidRPr="00592D35">
        <w:rPr>
          <w:rFonts w:cstheme="minorHAnsi"/>
          <w:i/>
          <w:iCs/>
        </w:rPr>
        <w:t xml:space="preserve"> tout </w:t>
      </w:r>
      <w:r w:rsidR="00095A05">
        <w:rPr>
          <w:rFonts w:cstheme="minorHAnsi"/>
          <w:i/>
          <w:iCs/>
        </w:rPr>
        <w:t xml:space="preserve">en bénéficiant d’une remarquable </w:t>
      </w:r>
      <w:r w:rsidRPr="00592D35">
        <w:rPr>
          <w:rFonts w:cstheme="minorHAnsi"/>
          <w:i/>
          <w:iCs/>
        </w:rPr>
        <w:t xml:space="preserve">renommée </w:t>
      </w:r>
      <w:r w:rsidR="00095A05">
        <w:rPr>
          <w:rFonts w:cstheme="minorHAnsi"/>
          <w:i/>
          <w:iCs/>
        </w:rPr>
        <w:t>en France et à l’international</w:t>
      </w:r>
      <w:r w:rsidR="00737395">
        <w:rPr>
          <w:rFonts w:cstheme="minorHAnsi"/>
          <w:i/>
          <w:iCs/>
        </w:rPr>
        <w:t xml:space="preserve"> </w:t>
      </w:r>
      <w:r w:rsidRPr="00592D35">
        <w:rPr>
          <w:rFonts w:cstheme="minorHAnsi"/>
          <w:i/>
          <w:iCs/>
        </w:rPr>
        <w:t xml:space="preserve">». </w:t>
      </w:r>
    </w:p>
    <w:p w14:paraId="64986188" w14:textId="77777777" w:rsidR="009F7C13" w:rsidRPr="00592D35" w:rsidRDefault="009F7C13" w:rsidP="00855ECE">
      <w:pPr>
        <w:spacing w:after="0" w:line="240" w:lineRule="auto"/>
        <w:jc w:val="both"/>
        <w:rPr>
          <w:rFonts w:cstheme="minorHAnsi"/>
        </w:rPr>
      </w:pPr>
    </w:p>
    <w:p w14:paraId="14D98C62" w14:textId="194A936C" w:rsidR="00825E7C" w:rsidRPr="00592D35" w:rsidRDefault="007E5E09" w:rsidP="00855ECE">
      <w:pPr>
        <w:spacing w:after="0" w:line="240" w:lineRule="auto"/>
        <w:jc w:val="both"/>
        <w:rPr>
          <w:rFonts w:cstheme="minorHAnsi"/>
          <w:b/>
          <w:color w:val="00B0F0"/>
        </w:rPr>
      </w:pPr>
      <w:r w:rsidRPr="00592D35">
        <w:rPr>
          <w:rFonts w:cstheme="minorHAnsi"/>
          <w:b/>
          <w:color w:val="00B0F0"/>
        </w:rPr>
        <w:t xml:space="preserve">INP, un modèle </w:t>
      </w:r>
      <w:r w:rsidR="007F0ECD" w:rsidRPr="00592D35">
        <w:rPr>
          <w:rFonts w:cstheme="minorHAnsi"/>
          <w:b/>
          <w:color w:val="00B0F0"/>
        </w:rPr>
        <w:t>qui séduit</w:t>
      </w:r>
    </w:p>
    <w:p w14:paraId="41B03F7D" w14:textId="77777777" w:rsidR="007E5E09" w:rsidRPr="00592D35" w:rsidRDefault="007E5E09" w:rsidP="00855ECE">
      <w:pPr>
        <w:spacing w:after="0" w:line="240" w:lineRule="auto"/>
        <w:jc w:val="both"/>
        <w:rPr>
          <w:rFonts w:cstheme="minorHAnsi"/>
        </w:rPr>
      </w:pPr>
    </w:p>
    <w:p w14:paraId="49E931D2" w14:textId="4DE2C7F9" w:rsidR="00FB7EED" w:rsidRPr="00592D35" w:rsidRDefault="007E5E09" w:rsidP="00855ECE">
      <w:pPr>
        <w:spacing w:after="0" w:line="240" w:lineRule="auto"/>
        <w:jc w:val="both"/>
        <w:rPr>
          <w:rFonts w:cstheme="minorHAnsi"/>
        </w:rPr>
      </w:pPr>
      <w:r w:rsidRPr="00592D35">
        <w:rPr>
          <w:rFonts w:cstheme="minorHAnsi"/>
        </w:rPr>
        <w:t xml:space="preserve">Le modèle INP, qui diplôme aujourd’hui </w:t>
      </w:r>
      <w:r w:rsidR="00FE5E14">
        <w:rPr>
          <w:rFonts w:cstheme="minorHAnsi"/>
        </w:rPr>
        <w:t xml:space="preserve">en France </w:t>
      </w:r>
      <w:r w:rsidRPr="00592D35">
        <w:rPr>
          <w:rFonts w:cstheme="minorHAnsi"/>
        </w:rPr>
        <w:t xml:space="preserve">1 ingénieur sur 6, est </w:t>
      </w:r>
      <w:r w:rsidR="00FE5E14">
        <w:rPr>
          <w:rFonts w:cstheme="minorHAnsi"/>
        </w:rPr>
        <w:t xml:space="preserve">très </w:t>
      </w:r>
      <w:r w:rsidRPr="00592D35">
        <w:rPr>
          <w:rFonts w:cstheme="minorHAnsi"/>
        </w:rPr>
        <w:t>attractif</w:t>
      </w:r>
      <w:r w:rsidR="00CE1ABF" w:rsidRPr="00592D35">
        <w:rPr>
          <w:rFonts w:cstheme="minorHAnsi"/>
        </w:rPr>
        <w:t xml:space="preserve">. </w:t>
      </w:r>
      <w:r w:rsidR="00FB7EED" w:rsidRPr="00592D35">
        <w:rPr>
          <w:rFonts w:cstheme="minorHAnsi"/>
        </w:rPr>
        <w:t xml:space="preserve">En janvier 2021, 3 nouvelles écoles </w:t>
      </w:r>
      <w:r w:rsidR="00FE5E14">
        <w:rPr>
          <w:rFonts w:cstheme="minorHAnsi"/>
        </w:rPr>
        <w:t>avaient ainsi</w:t>
      </w:r>
      <w:r w:rsidR="00FB7EED" w:rsidRPr="00592D35">
        <w:rPr>
          <w:rFonts w:cstheme="minorHAnsi"/>
        </w:rPr>
        <w:t xml:space="preserve"> décidé de rejoindre le Groupe : ISIMA, Polytech Clermont et SIGMA Clermont, constituant Clermont Auvergne </w:t>
      </w:r>
      <w:commentRangeStart w:id="0"/>
      <w:r w:rsidR="00FB7EED" w:rsidRPr="00592D35">
        <w:rPr>
          <w:rFonts w:cstheme="minorHAnsi"/>
        </w:rPr>
        <w:t>INP</w:t>
      </w:r>
      <w:commentRangeEnd w:id="0"/>
      <w:r w:rsidR="00132044">
        <w:rPr>
          <w:rStyle w:val="CommentReference"/>
        </w:rPr>
        <w:commentReference w:id="0"/>
      </w:r>
      <w:r w:rsidR="00FB7EED" w:rsidRPr="00592D35">
        <w:rPr>
          <w:rFonts w:cstheme="minorHAnsi"/>
        </w:rPr>
        <w:t xml:space="preserve">. </w:t>
      </w:r>
    </w:p>
    <w:p w14:paraId="42123AD6" w14:textId="77777777" w:rsidR="00FB7EED" w:rsidRPr="00592D35" w:rsidRDefault="00FB7EED" w:rsidP="00855ECE">
      <w:pPr>
        <w:spacing w:after="0" w:line="240" w:lineRule="auto"/>
        <w:jc w:val="both"/>
        <w:rPr>
          <w:rFonts w:cstheme="minorHAnsi"/>
        </w:rPr>
      </w:pPr>
    </w:p>
    <w:p w14:paraId="243A029B" w14:textId="6301D9AD" w:rsidR="007E5E09" w:rsidRPr="00592D35" w:rsidRDefault="00DA7F50" w:rsidP="008259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592D35">
        <w:rPr>
          <w:rFonts w:eastAsia="Times New Roman" w:cstheme="minorHAnsi"/>
          <w:color w:val="000000"/>
          <w:lang w:eastAsia="fr-FR"/>
        </w:rPr>
        <w:t xml:space="preserve">La Prépa des INP </w:t>
      </w:r>
      <w:r w:rsidR="00602889" w:rsidRPr="00592D35">
        <w:rPr>
          <w:rFonts w:eastAsia="Times New Roman" w:cstheme="minorHAnsi"/>
          <w:color w:val="000000"/>
          <w:lang w:eastAsia="fr-FR"/>
        </w:rPr>
        <w:t>se développe</w:t>
      </w:r>
      <w:r w:rsidR="00DC163B">
        <w:rPr>
          <w:rFonts w:eastAsia="Times New Roman" w:cstheme="minorHAnsi"/>
          <w:color w:val="000000"/>
          <w:lang w:eastAsia="fr-FR"/>
        </w:rPr>
        <w:t xml:space="preserve"> également. En</w:t>
      </w:r>
      <w:r w:rsidR="00602889" w:rsidRPr="00592D35">
        <w:rPr>
          <w:rFonts w:eastAsia="Times New Roman" w:cstheme="minorHAnsi"/>
          <w:color w:val="000000"/>
          <w:lang w:eastAsia="fr-FR"/>
        </w:rPr>
        <w:t xml:space="preserve"> 2021 </w:t>
      </w:r>
      <w:r w:rsidR="00DC163B">
        <w:rPr>
          <w:rFonts w:eastAsia="Times New Roman" w:cstheme="minorHAnsi"/>
          <w:color w:val="000000"/>
          <w:lang w:eastAsia="fr-FR"/>
        </w:rPr>
        <w:t>ont ouvert l</w:t>
      </w:r>
      <w:r w:rsidR="00602889" w:rsidRPr="00592D35">
        <w:rPr>
          <w:rFonts w:eastAsia="Times New Roman" w:cstheme="minorHAnsi"/>
          <w:color w:val="000000"/>
          <w:lang w:eastAsia="fr-FR"/>
        </w:rPr>
        <w:t xml:space="preserve">es Prépa des INP Clermont et Caraïbes ; et </w:t>
      </w:r>
      <w:r w:rsidR="005133F2" w:rsidRPr="00592D35">
        <w:rPr>
          <w:rFonts w:eastAsia="Times New Roman" w:cstheme="minorHAnsi"/>
          <w:color w:val="000000"/>
          <w:lang w:eastAsia="fr-FR"/>
        </w:rPr>
        <w:t>la Prépa des INP Hauts de France (Cambrai)</w:t>
      </w:r>
      <w:r w:rsidR="005133F2">
        <w:rPr>
          <w:rFonts w:eastAsia="Times New Roman" w:cstheme="minorHAnsi"/>
          <w:color w:val="000000"/>
          <w:lang w:eastAsia="fr-FR"/>
        </w:rPr>
        <w:t xml:space="preserve"> ouvrira en</w:t>
      </w:r>
      <w:r w:rsidR="00602889" w:rsidRPr="00592D35">
        <w:rPr>
          <w:rFonts w:eastAsia="Times New Roman" w:cstheme="minorHAnsi"/>
          <w:color w:val="000000"/>
          <w:lang w:eastAsia="fr-FR"/>
        </w:rPr>
        <w:t xml:space="preserve"> septembre</w:t>
      </w:r>
      <w:r w:rsidR="005133F2">
        <w:rPr>
          <w:rFonts w:eastAsia="Times New Roman" w:cstheme="minorHAnsi"/>
          <w:color w:val="000000"/>
          <w:lang w:eastAsia="fr-FR"/>
        </w:rPr>
        <w:t xml:space="preserve">. </w:t>
      </w:r>
      <w:r w:rsidR="000D0BBC">
        <w:rPr>
          <w:rFonts w:eastAsia="Times New Roman" w:cstheme="minorHAnsi"/>
          <w:color w:val="000000"/>
          <w:lang w:eastAsia="fr-FR"/>
        </w:rPr>
        <w:t>C</w:t>
      </w:r>
      <w:r w:rsidRPr="00592D35">
        <w:rPr>
          <w:rFonts w:eastAsia="Times New Roman" w:cstheme="minorHAnsi"/>
          <w:color w:val="000000"/>
          <w:lang w:eastAsia="fr-FR"/>
        </w:rPr>
        <w:t>réé</w:t>
      </w:r>
      <w:r w:rsidR="000D0BBC">
        <w:rPr>
          <w:rFonts w:eastAsia="Times New Roman" w:cstheme="minorHAnsi"/>
          <w:color w:val="000000"/>
          <w:lang w:eastAsia="fr-FR"/>
        </w:rPr>
        <w:t>e</w:t>
      </w:r>
      <w:r w:rsidRPr="00592D35">
        <w:rPr>
          <w:rFonts w:eastAsia="Times New Roman" w:cstheme="minorHAnsi"/>
          <w:color w:val="000000"/>
          <w:lang w:eastAsia="fr-FR"/>
        </w:rPr>
        <w:t xml:space="preserve"> et porté</w:t>
      </w:r>
      <w:r w:rsidR="000D0BBC">
        <w:rPr>
          <w:rFonts w:eastAsia="Times New Roman" w:cstheme="minorHAnsi"/>
          <w:color w:val="000000"/>
          <w:lang w:eastAsia="fr-FR"/>
        </w:rPr>
        <w:t>e</w:t>
      </w:r>
      <w:r w:rsidRPr="00592D35">
        <w:rPr>
          <w:rFonts w:eastAsia="Times New Roman" w:cstheme="minorHAnsi"/>
          <w:color w:val="000000"/>
          <w:lang w:eastAsia="fr-FR"/>
        </w:rPr>
        <w:t xml:space="preserve"> par le Groupe INP, commun</w:t>
      </w:r>
      <w:r w:rsidR="000D0BBC">
        <w:rPr>
          <w:rFonts w:eastAsia="Times New Roman" w:cstheme="minorHAnsi"/>
          <w:color w:val="000000"/>
          <w:lang w:eastAsia="fr-FR"/>
        </w:rPr>
        <w:t>e</w:t>
      </w:r>
      <w:r w:rsidRPr="00592D35">
        <w:rPr>
          <w:rFonts w:eastAsia="Times New Roman" w:cstheme="minorHAnsi"/>
          <w:color w:val="000000"/>
          <w:lang w:eastAsia="fr-FR"/>
        </w:rPr>
        <w:t xml:space="preserve"> à l’ensemble des écoles</w:t>
      </w:r>
      <w:r w:rsidR="000D0BBC">
        <w:rPr>
          <w:rFonts w:eastAsia="Times New Roman" w:cstheme="minorHAnsi"/>
          <w:color w:val="000000"/>
          <w:lang w:eastAsia="fr-FR"/>
        </w:rPr>
        <w:t xml:space="preserve">, </w:t>
      </w:r>
      <w:r w:rsidR="00553265">
        <w:rPr>
          <w:rFonts w:eastAsia="Times New Roman" w:cstheme="minorHAnsi"/>
          <w:color w:val="000000"/>
          <w:lang w:eastAsia="fr-FR"/>
        </w:rPr>
        <w:t xml:space="preserve">la Prépa </w:t>
      </w:r>
      <w:r w:rsidR="0009320F" w:rsidRPr="0009320F">
        <w:rPr>
          <w:rFonts w:eastAsia="Times New Roman" w:cstheme="minorHAnsi"/>
          <w:color w:val="000000"/>
          <w:lang w:eastAsia="fr-FR"/>
        </w:rPr>
        <w:t xml:space="preserve">permet </w:t>
      </w:r>
      <w:r w:rsidR="00193114">
        <w:rPr>
          <w:rFonts w:eastAsia="Times New Roman" w:cstheme="minorHAnsi"/>
          <w:color w:val="000000"/>
          <w:lang w:eastAsia="fr-FR"/>
        </w:rPr>
        <w:t xml:space="preserve">aux </w:t>
      </w:r>
      <w:r w:rsidR="00553265">
        <w:rPr>
          <w:rFonts w:eastAsia="Times New Roman" w:cstheme="minorHAnsi"/>
          <w:color w:val="000000"/>
          <w:lang w:eastAsia="fr-FR"/>
        </w:rPr>
        <w:t>bacheliers</w:t>
      </w:r>
      <w:r w:rsidR="00193114">
        <w:rPr>
          <w:rFonts w:eastAsia="Times New Roman" w:cstheme="minorHAnsi"/>
          <w:color w:val="000000"/>
          <w:lang w:eastAsia="fr-FR"/>
        </w:rPr>
        <w:t xml:space="preserve"> </w:t>
      </w:r>
      <w:r w:rsidR="0009320F" w:rsidRPr="0009320F">
        <w:rPr>
          <w:rFonts w:eastAsia="Times New Roman" w:cstheme="minorHAnsi"/>
          <w:color w:val="000000"/>
          <w:lang w:eastAsia="fr-FR"/>
        </w:rPr>
        <w:t>d’accéder, après 2 ans de formation, à des places dédiées dans les 36 écoles d’ingénieurs du Groupe, sur la base du contrôle continu et du projet professionnel</w:t>
      </w:r>
      <w:r w:rsidR="00022544">
        <w:rPr>
          <w:rFonts w:eastAsia="Times New Roman" w:cstheme="minorHAnsi"/>
          <w:color w:val="000000"/>
          <w:lang w:eastAsia="fr-FR"/>
        </w:rPr>
        <w:t xml:space="preserve">. </w:t>
      </w:r>
    </w:p>
    <w:p w14:paraId="19D1C455" w14:textId="77777777" w:rsidR="007E5E09" w:rsidRPr="00592D35" w:rsidRDefault="007E5E09" w:rsidP="00855ECE">
      <w:pPr>
        <w:spacing w:after="0" w:line="240" w:lineRule="auto"/>
        <w:jc w:val="both"/>
        <w:rPr>
          <w:rFonts w:cstheme="minorHAnsi"/>
        </w:rPr>
      </w:pPr>
    </w:p>
    <w:p w14:paraId="7147EF6C" w14:textId="052BBC4B" w:rsidR="007226FF" w:rsidRPr="00592D35" w:rsidRDefault="0073519D" w:rsidP="007B227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Quant aux </w:t>
      </w:r>
      <w:r w:rsidR="007226FF" w:rsidRPr="00592D35">
        <w:rPr>
          <w:rFonts w:cstheme="minorHAnsi"/>
        </w:rPr>
        <w:t>entreprises</w:t>
      </w:r>
      <w:r>
        <w:rPr>
          <w:rFonts w:cstheme="minorHAnsi"/>
        </w:rPr>
        <w:t xml:space="preserve">, elles plébiscitent </w:t>
      </w:r>
      <w:r w:rsidR="00EA6E7B">
        <w:rPr>
          <w:rFonts w:cstheme="minorHAnsi"/>
        </w:rPr>
        <w:t>aussi</w:t>
      </w:r>
      <w:r w:rsidR="007226FF" w:rsidRPr="00592D35">
        <w:rPr>
          <w:rFonts w:cstheme="minorHAnsi"/>
        </w:rPr>
        <w:t xml:space="preserve"> </w:t>
      </w:r>
      <w:r w:rsidR="006473FD" w:rsidRPr="00592D35">
        <w:rPr>
          <w:rFonts w:cstheme="minorHAnsi"/>
        </w:rPr>
        <w:t>le modèle des INP :</w:t>
      </w:r>
      <w:r w:rsidR="0082595B" w:rsidRPr="00592D35">
        <w:rPr>
          <w:rFonts w:cstheme="minorHAnsi"/>
        </w:rPr>
        <w:t xml:space="preserve"> </w:t>
      </w:r>
      <w:r w:rsidR="007226FF" w:rsidRPr="00592D35">
        <w:rPr>
          <w:rFonts w:cstheme="minorHAnsi"/>
        </w:rPr>
        <w:t>l</w:t>
      </w:r>
      <w:r w:rsidR="007B2276" w:rsidRPr="00592D35">
        <w:rPr>
          <w:rFonts w:cstheme="minorHAnsi"/>
        </w:rPr>
        <w:t xml:space="preserve">es diplômés des </w:t>
      </w:r>
      <w:r w:rsidR="00483650" w:rsidRPr="00592D35">
        <w:rPr>
          <w:rFonts w:cstheme="minorHAnsi"/>
        </w:rPr>
        <w:t xml:space="preserve">écoles </w:t>
      </w:r>
      <w:r w:rsidR="007B2276" w:rsidRPr="00592D35">
        <w:rPr>
          <w:rFonts w:cstheme="minorHAnsi"/>
        </w:rPr>
        <w:t xml:space="preserve">bénéficient d’une insertion professionnelle rapide et réussie. </w:t>
      </w:r>
    </w:p>
    <w:p w14:paraId="1F65A555" w14:textId="17DD6C1E" w:rsidR="007E5E09" w:rsidRPr="00592D35" w:rsidRDefault="007E5E09" w:rsidP="00855ECE">
      <w:pPr>
        <w:spacing w:after="0" w:line="240" w:lineRule="auto"/>
        <w:jc w:val="both"/>
        <w:rPr>
          <w:rFonts w:cstheme="minorHAnsi"/>
        </w:rPr>
      </w:pPr>
    </w:p>
    <w:p w14:paraId="1984670D" w14:textId="77777777" w:rsidR="007E5E09" w:rsidRPr="00592D35" w:rsidRDefault="007E5E09" w:rsidP="00855ECE">
      <w:pPr>
        <w:spacing w:after="0" w:line="240" w:lineRule="auto"/>
        <w:jc w:val="both"/>
        <w:rPr>
          <w:rFonts w:cstheme="minorHAnsi"/>
          <w:b/>
          <w:color w:val="00B0F0"/>
        </w:rPr>
      </w:pPr>
      <w:r w:rsidRPr="00592D35">
        <w:rPr>
          <w:rFonts w:cstheme="minorHAnsi"/>
          <w:b/>
          <w:color w:val="00B0F0"/>
        </w:rPr>
        <w:t xml:space="preserve">Vision commune et valeurs fortes </w:t>
      </w:r>
    </w:p>
    <w:p w14:paraId="1004162D" w14:textId="77777777" w:rsidR="00855ECE" w:rsidRPr="00592D35" w:rsidRDefault="00855ECE" w:rsidP="00855E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14:paraId="1A6A2A73" w14:textId="66A99B4B" w:rsidR="00DA7F50" w:rsidRPr="00592D35" w:rsidRDefault="00855ECE" w:rsidP="00855E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 w:rsidRPr="00592D35">
        <w:rPr>
          <w:rFonts w:eastAsia="Times New Roman" w:cstheme="minorHAnsi"/>
          <w:color w:val="000000"/>
          <w:lang w:eastAsia="fr-FR"/>
        </w:rPr>
        <w:t xml:space="preserve">Les écoles du Groupe INP partagent en outre une vision et des valeurs fortes. </w:t>
      </w:r>
      <w:r w:rsidR="00C12182">
        <w:rPr>
          <w:rFonts w:eastAsia="Times New Roman" w:cstheme="minorHAnsi"/>
          <w:color w:val="000000"/>
          <w:lang w:eastAsia="fr-FR"/>
        </w:rPr>
        <w:t>À</w:t>
      </w:r>
      <w:r w:rsidR="00DA7F50" w:rsidRPr="00592D35">
        <w:rPr>
          <w:rFonts w:eastAsia="Times New Roman" w:cstheme="minorHAnsi"/>
          <w:color w:val="000000"/>
          <w:lang w:eastAsia="fr-FR"/>
        </w:rPr>
        <w:t xml:space="preserve"> taille humaine, </w:t>
      </w:r>
      <w:r w:rsidR="00CE53C7">
        <w:rPr>
          <w:rFonts w:eastAsia="Times New Roman" w:cstheme="minorHAnsi"/>
          <w:color w:val="000000"/>
          <w:lang w:eastAsia="fr-FR"/>
        </w:rPr>
        <w:t>et</w:t>
      </w:r>
      <w:r w:rsidR="00DA7F50" w:rsidRPr="00592D35">
        <w:rPr>
          <w:rFonts w:eastAsia="Times New Roman" w:cstheme="minorHAnsi"/>
          <w:color w:val="000000"/>
          <w:lang w:eastAsia="fr-FR"/>
        </w:rPr>
        <w:t xml:space="preserve"> publiques</w:t>
      </w:r>
      <w:r w:rsidR="00CE53C7">
        <w:rPr>
          <w:rFonts w:eastAsia="Times New Roman" w:cstheme="minorHAnsi"/>
          <w:color w:val="000000"/>
          <w:lang w:eastAsia="fr-FR"/>
        </w:rPr>
        <w:t>, elles pratiquent des</w:t>
      </w:r>
      <w:r w:rsidR="00DA7F50" w:rsidRPr="00592D35">
        <w:rPr>
          <w:rFonts w:eastAsia="Times New Roman" w:cstheme="minorHAnsi"/>
          <w:color w:val="000000"/>
          <w:lang w:eastAsia="fr-FR"/>
        </w:rPr>
        <w:t xml:space="preserve"> frais de scolarité</w:t>
      </w:r>
      <w:r w:rsidR="00CE53C7">
        <w:rPr>
          <w:rFonts w:eastAsia="Times New Roman" w:cstheme="minorHAnsi"/>
          <w:color w:val="000000"/>
          <w:lang w:eastAsia="fr-FR"/>
        </w:rPr>
        <w:t xml:space="preserve"> </w:t>
      </w:r>
      <w:r w:rsidR="00DA7F50" w:rsidRPr="00592D35">
        <w:rPr>
          <w:rFonts w:eastAsia="Times New Roman" w:cstheme="minorHAnsi"/>
          <w:color w:val="000000"/>
          <w:lang w:eastAsia="fr-FR"/>
        </w:rPr>
        <w:t>peu élevés</w:t>
      </w:r>
      <w:r w:rsidR="00CE53C7">
        <w:rPr>
          <w:rFonts w:eastAsia="Times New Roman" w:cstheme="minorHAnsi"/>
          <w:color w:val="000000"/>
          <w:lang w:eastAsia="fr-FR"/>
        </w:rPr>
        <w:t xml:space="preserve"> et accueillent des jeunes issus de tous les milieux sociaux. </w:t>
      </w:r>
    </w:p>
    <w:p w14:paraId="5F650764" w14:textId="77777777" w:rsidR="00DA7F50" w:rsidRPr="00592D35" w:rsidRDefault="00DA7F50" w:rsidP="00855E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</w:p>
    <w:p w14:paraId="0C59FEA4" w14:textId="42344728" w:rsidR="00A12432" w:rsidRPr="00592D35" w:rsidRDefault="00EA464E" w:rsidP="007B227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En outre, chaque école </w:t>
      </w:r>
      <w:r w:rsidR="00BC220C">
        <w:rPr>
          <w:rFonts w:eastAsia="Times New Roman" w:cstheme="minorHAnsi"/>
          <w:color w:val="000000"/>
          <w:lang w:eastAsia="fr-FR"/>
        </w:rPr>
        <w:t>a son</w:t>
      </w:r>
      <w:r w:rsidRPr="00592D35">
        <w:rPr>
          <w:rFonts w:eastAsia="Times New Roman" w:cstheme="minorHAnsi"/>
          <w:color w:val="000000"/>
          <w:lang w:eastAsia="fr-FR"/>
        </w:rPr>
        <w:t xml:space="preserve"> domaine de spécialité et des expertises techniques </w:t>
      </w:r>
      <w:r>
        <w:rPr>
          <w:rFonts w:eastAsia="Times New Roman" w:cstheme="minorHAnsi"/>
          <w:color w:val="000000"/>
          <w:lang w:eastAsia="fr-FR"/>
        </w:rPr>
        <w:t xml:space="preserve">pointues </w:t>
      </w:r>
      <w:r w:rsidRPr="00592D35">
        <w:rPr>
          <w:rFonts w:eastAsia="Times New Roman" w:cstheme="minorHAnsi"/>
          <w:color w:val="000000"/>
          <w:lang w:eastAsia="fr-FR"/>
        </w:rPr>
        <w:t>qui lui assur</w:t>
      </w:r>
      <w:r>
        <w:rPr>
          <w:rFonts w:eastAsia="Times New Roman" w:cstheme="minorHAnsi"/>
          <w:color w:val="000000"/>
          <w:lang w:eastAsia="fr-FR"/>
        </w:rPr>
        <w:t>en</w:t>
      </w:r>
      <w:r w:rsidRPr="00592D35">
        <w:rPr>
          <w:rFonts w:eastAsia="Times New Roman" w:cstheme="minorHAnsi"/>
          <w:color w:val="000000"/>
          <w:lang w:eastAsia="fr-FR"/>
        </w:rPr>
        <w:t xml:space="preserve">t une </w:t>
      </w:r>
      <w:r w:rsidR="001B68A8">
        <w:rPr>
          <w:rFonts w:eastAsia="Times New Roman" w:cstheme="minorHAnsi"/>
          <w:color w:val="000000"/>
          <w:lang w:eastAsia="fr-FR"/>
        </w:rPr>
        <w:t xml:space="preserve">très </w:t>
      </w:r>
      <w:r w:rsidRPr="00592D35">
        <w:rPr>
          <w:rFonts w:eastAsia="Times New Roman" w:cstheme="minorHAnsi"/>
          <w:color w:val="000000"/>
          <w:lang w:eastAsia="fr-FR"/>
        </w:rPr>
        <w:t xml:space="preserve">forte proximité avec les entreprises </w:t>
      </w:r>
      <w:r w:rsidR="001B68A8">
        <w:rPr>
          <w:rFonts w:eastAsia="Times New Roman" w:cstheme="minorHAnsi"/>
          <w:color w:val="000000"/>
          <w:lang w:eastAsia="fr-FR"/>
        </w:rPr>
        <w:t>concernées</w:t>
      </w:r>
      <w:r w:rsidRPr="00592D35">
        <w:rPr>
          <w:rFonts w:eastAsia="Times New Roman" w:cstheme="minorHAnsi"/>
          <w:color w:val="000000"/>
          <w:lang w:eastAsia="fr-FR"/>
        </w:rPr>
        <w:t xml:space="preserve">. </w:t>
      </w:r>
      <w:r w:rsidR="001B68A8">
        <w:rPr>
          <w:rFonts w:eastAsia="Times New Roman" w:cstheme="minorHAnsi"/>
          <w:color w:val="000000"/>
          <w:lang w:eastAsia="fr-FR"/>
        </w:rPr>
        <w:t>De fait, toutes l</w:t>
      </w:r>
      <w:r>
        <w:rPr>
          <w:rFonts w:eastAsia="Times New Roman" w:cstheme="minorHAnsi"/>
          <w:color w:val="000000"/>
          <w:lang w:eastAsia="fr-FR"/>
        </w:rPr>
        <w:t xml:space="preserve">es écoles </w:t>
      </w:r>
      <w:r w:rsidR="001B68A8">
        <w:rPr>
          <w:rFonts w:eastAsia="Times New Roman" w:cstheme="minorHAnsi"/>
          <w:color w:val="000000"/>
          <w:lang w:eastAsia="fr-FR"/>
        </w:rPr>
        <w:t xml:space="preserve">du Groupe INP répondent </w:t>
      </w:r>
      <w:r w:rsidR="007E7C49" w:rsidRPr="00592D35">
        <w:rPr>
          <w:rFonts w:eastAsia="Times New Roman" w:cstheme="minorHAnsi"/>
          <w:color w:val="000000"/>
          <w:lang w:eastAsia="fr-FR"/>
        </w:rPr>
        <w:t xml:space="preserve">aux besoins </w:t>
      </w:r>
      <w:r w:rsidR="007E7C49">
        <w:rPr>
          <w:rFonts w:eastAsia="Times New Roman" w:cstheme="minorHAnsi"/>
          <w:color w:val="000000"/>
          <w:lang w:eastAsia="fr-FR"/>
        </w:rPr>
        <w:t xml:space="preserve">des entreprises </w:t>
      </w:r>
      <w:r w:rsidR="001B68A8">
        <w:rPr>
          <w:rFonts w:eastAsia="Times New Roman" w:cstheme="minorHAnsi"/>
          <w:color w:val="000000"/>
          <w:lang w:eastAsia="fr-FR"/>
        </w:rPr>
        <w:t xml:space="preserve">françaises </w:t>
      </w:r>
      <w:r w:rsidR="007E7C49" w:rsidRPr="00592D35">
        <w:rPr>
          <w:rFonts w:eastAsia="Times New Roman" w:cstheme="minorHAnsi"/>
          <w:color w:val="000000"/>
          <w:lang w:eastAsia="fr-FR"/>
        </w:rPr>
        <w:t xml:space="preserve">et </w:t>
      </w:r>
      <w:r w:rsidR="007E7C49">
        <w:rPr>
          <w:rFonts w:eastAsia="Times New Roman" w:cstheme="minorHAnsi"/>
          <w:color w:val="000000"/>
          <w:lang w:eastAsia="fr-FR"/>
        </w:rPr>
        <w:t>aux problématiques sociétales</w:t>
      </w:r>
      <w:r>
        <w:rPr>
          <w:rFonts w:eastAsia="Times New Roman" w:cstheme="minorHAnsi"/>
          <w:color w:val="000000"/>
          <w:lang w:eastAsia="fr-FR"/>
        </w:rPr>
        <w:t xml:space="preserve">. </w:t>
      </w:r>
      <w:r w:rsidR="007E7C49" w:rsidRPr="00592D35">
        <w:rPr>
          <w:rFonts w:eastAsia="Times New Roman" w:cstheme="minorHAnsi"/>
          <w:color w:val="000000"/>
          <w:lang w:eastAsia="fr-FR"/>
        </w:rPr>
        <w:t xml:space="preserve"> </w:t>
      </w:r>
    </w:p>
    <w:p w14:paraId="7B2742DA" w14:textId="77777777" w:rsidR="00280418" w:rsidRPr="00592D35" w:rsidRDefault="00280418" w:rsidP="00A12432">
      <w:pPr>
        <w:spacing w:after="0" w:line="240" w:lineRule="auto"/>
        <w:jc w:val="both"/>
        <w:rPr>
          <w:rFonts w:cstheme="minorHAnsi"/>
          <w:b/>
          <w:color w:val="00B0F0"/>
        </w:rPr>
      </w:pPr>
    </w:p>
    <w:p w14:paraId="28DAA700" w14:textId="289E66F6" w:rsidR="007133D0" w:rsidRPr="00592D35" w:rsidRDefault="00827422" w:rsidP="007133D0">
      <w:pPr>
        <w:spacing w:after="0" w:line="240" w:lineRule="auto"/>
        <w:jc w:val="both"/>
        <w:rPr>
          <w:rFonts w:cstheme="minorHAnsi"/>
        </w:rPr>
      </w:pPr>
      <w:r w:rsidRPr="00592D35">
        <w:rPr>
          <w:rFonts w:eastAsia="Times New Roman" w:cstheme="minorHAnsi"/>
          <w:color w:val="000000"/>
          <w:lang w:eastAsia="fr-FR"/>
        </w:rPr>
        <w:t xml:space="preserve">Chaque INP est </w:t>
      </w:r>
      <w:r w:rsidR="006B72CD">
        <w:rPr>
          <w:rFonts w:eastAsia="Times New Roman" w:cstheme="minorHAnsi"/>
          <w:color w:val="000000"/>
          <w:lang w:eastAsia="fr-FR"/>
        </w:rPr>
        <w:t xml:space="preserve">enfin </w:t>
      </w:r>
      <w:r w:rsidRPr="00592D35">
        <w:rPr>
          <w:rFonts w:eastAsia="Times New Roman" w:cstheme="minorHAnsi"/>
          <w:color w:val="000000"/>
          <w:lang w:eastAsia="fr-FR"/>
        </w:rPr>
        <w:t xml:space="preserve">au cœur d’un écosystème de recherche d’excellence et d’innovation, aux côtés des partenaires de </w:t>
      </w:r>
      <w:r w:rsidR="001175CE">
        <w:rPr>
          <w:rFonts w:eastAsia="Times New Roman" w:cstheme="minorHAnsi"/>
          <w:color w:val="000000"/>
          <w:lang w:eastAsia="fr-FR"/>
        </w:rPr>
        <w:t xml:space="preserve">son </w:t>
      </w:r>
      <w:r w:rsidRPr="00592D35">
        <w:rPr>
          <w:rFonts w:eastAsia="Times New Roman" w:cstheme="minorHAnsi"/>
          <w:color w:val="000000"/>
          <w:lang w:eastAsia="fr-FR"/>
        </w:rPr>
        <w:t>site universitaire, au premier rang d</w:t>
      </w:r>
      <w:r w:rsidR="00C3041E" w:rsidRPr="00592D35">
        <w:rPr>
          <w:rFonts w:eastAsia="Times New Roman" w:cstheme="minorHAnsi"/>
          <w:color w:val="000000"/>
          <w:lang w:eastAsia="fr-FR"/>
        </w:rPr>
        <w:t>esquels l’U</w:t>
      </w:r>
      <w:r w:rsidRPr="00592D35">
        <w:rPr>
          <w:rFonts w:eastAsia="Times New Roman" w:cstheme="minorHAnsi"/>
          <w:color w:val="000000"/>
          <w:lang w:eastAsia="fr-FR"/>
        </w:rPr>
        <w:t xml:space="preserve">niversité locale. </w:t>
      </w:r>
      <w:r w:rsidR="007133D0" w:rsidRPr="00592D35">
        <w:rPr>
          <w:rFonts w:cstheme="minorHAnsi"/>
        </w:rPr>
        <w:t xml:space="preserve">Le modèle INP rend possible une interface </w:t>
      </w:r>
      <w:r w:rsidR="00C3041E" w:rsidRPr="00592D35">
        <w:rPr>
          <w:rFonts w:cstheme="minorHAnsi"/>
        </w:rPr>
        <w:t>U</w:t>
      </w:r>
      <w:r w:rsidR="007133D0" w:rsidRPr="00592D35">
        <w:rPr>
          <w:rFonts w:cstheme="minorHAnsi"/>
        </w:rPr>
        <w:t>niversité/</w:t>
      </w:r>
      <w:r w:rsidR="00C3041E" w:rsidRPr="00592D35">
        <w:rPr>
          <w:rFonts w:cstheme="minorHAnsi"/>
        </w:rPr>
        <w:t>Grandes É</w:t>
      </w:r>
      <w:r w:rsidR="007133D0" w:rsidRPr="00592D35">
        <w:rPr>
          <w:rFonts w:cstheme="minorHAnsi"/>
        </w:rPr>
        <w:t xml:space="preserve">coles, </w:t>
      </w:r>
      <w:r w:rsidR="00927BBD" w:rsidRPr="00592D35">
        <w:rPr>
          <w:rFonts w:cstheme="minorHAnsi"/>
        </w:rPr>
        <w:t>avec u</w:t>
      </w:r>
      <w:r w:rsidR="007133D0" w:rsidRPr="00592D35">
        <w:rPr>
          <w:rFonts w:cstheme="minorHAnsi"/>
        </w:rPr>
        <w:t xml:space="preserve">ne politique de recherche et </w:t>
      </w:r>
      <w:r w:rsidR="00927BBD" w:rsidRPr="00592D35">
        <w:rPr>
          <w:rFonts w:cstheme="minorHAnsi"/>
        </w:rPr>
        <w:t xml:space="preserve">de </w:t>
      </w:r>
      <w:r w:rsidR="007133D0" w:rsidRPr="00592D35">
        <w:rPr>
          <w:rFonts w:cstheme="minorHAnsi"/>
        </w:rPr>
        <w:t>valorisation partagée</w:t>
      </w:r>
      <w:r w:rsidR="00A12432" w:rsidRPr="00592D35">
        <w:rPr>
          <w:rFonts w:cstheme="minorHAnsi"/>
        </w:rPr>
        <w:t xml:space="preserve">. Les INP sont ainsi des </w:t>
      </w:r>
      <w:r w:rsidR="00927BBD" w:rsidRPr="00592D35">
        <w:rPr>
          <w:rFonts w:cstheme="minorHAnsi"/>
        </w:rPr>
        <w:t>acteur</w:t>
      </w:r>
      <w:r w:rsidR="00A12432" w:rsidRPr="00592D35">
        <w:rPr>
          <w:rFonts w:cstheme="minorHAnsi"/>
        </w:rPr>
        <w:t>s</w:t>
      </w:r>
      <w:r w:rsidR="00927BBD" w:rsidRPr="00592D35">
        <w:rPr>
          <w:rFonts w:cstheme="minorHAnsi"/>
        </w:rPr>
        <w:t xml:space="preserve"> majeur</w:t>
      </w:r>
      <w:r w:rsidR="00A12432" w:rsidRPr="00592D35">
        <w:rPr>
          <w:rFonts w:cstheme="minorHAnsi"/>
        </w:rPr>
        <w:t>s</w:t>
      </w:r>
      <w:r w:rsidR="00927BBD" w:rsidRPr="00592D35">
        <w:rPr>
          <w:rFonts w:cstheme="minorHAnsi"/>
        </w:rPr>
        <w:t xml:space="preserve"> du développement économique et sociétal de </w:t>
      </w:r>
      <w:r w:rsidR="00A12432" w:rsidRPr="00592D35">
        <w:rPr>
          <w:rFonts w:cstheme="minorHAnsi"/>
        </w:rPr>
        <w:t>leur</w:t>
      </w:r>
      <w:r w:rsidR="00927BBD" w:rsidRPr="00592D35">
        <w:rPr>
          <w:rFonts w:cstheme="minorHAnsi"/>
        </w:rPr>
        <w:t xml:space="preserve"> territoire</w:t>
      </w:r>
      <w:r w:rsidR="004F789F" w:rsidRPr="00592D35">
        <w:rPr>
          <w:rFonts w:cstheme="minorHAnsi"/>
        </w:rPr>
        <w:t> et</w:t>
      </w:r>
      <w:r w:rsidR="00982A20" w:rsidRPr="00592D35">
        <w:rPr>
          <w:rFonts w:cstheme="minorHAnsi"/>
        </w:rPr>
        <w:t xml:space="preserve"> de la politique internationale du site universitaire (accords internationaux, programmes, mobilités sortantes/entrantes…)</w:t>
      </w:r>
      <w:r w:rsidR="0059674D">
        <w:rPr>
          <w:rFonts w:cstheme="minorHAnsi"/>
        </w:rPr>
        <w:t>.</w:t>
      </w:r>
    </w:p>
    <w:p w14:paraId="770EE018" w14:textId="77777777" w:rsidR="008B77AE" w:rsidRPr="00592D35" w:rsidRDefault="008B77AE" w:rsidP="00855ECE">
      <w:pPr>
        <w:spacing w:after="0" w:line="240" w:lineRule="auto"/>
        <w:jc w:val="both"/>
        <w:rPr>
          <w:rFonts w:cstheme="minorHAnsi"/>
        </w:rPr>
      </w:pPr>
    </w:p>
    <w:p w14:paraId="00D7E70C" w14:textId="0DC985B6" w:rsidR="007249D3" w:rsidRDefault="004F789F" w:rsidP="00662B68">
      <w:pPr>
        <w:tabs>
          <w:tab w:val="left" w:pos="975"/>
        </w:tabs>
        <w:spacing w:after="0"/>
        <w:jc w:val="center"/>
        <w:rPr>
          <w:rStyle w:val="Hyperlink"/>
          <w:rFonts w:cstheme="minorHAnsi"/>
          <w:color w:val="00B0F0"/>
        </w:rPr>
      </w:pPr>
      <w:r w:rsidRPr="00592D35">
        <w:rPr>
          <w:rFonts w:cstheme="minorHAnsi"/>
          <w:b/>
          <w:color w:val="000000" w:themeColor="text1"/>
          <w:u w:val="single"/>
        </w:rPr>
        <w:t>Contact-Presse</w:t>
      </w:r>
      <w:r w:rsidRPr="00592D35">
        <w:rPr>
          <w:rFonts w:cstheme="minorHAnsi"/>
          <w:color w:val="000000" w:themeColor="text1"/>
        </w:rPr>
        <w:t xml:space="preserve"> — Agence MCM — Élodie AUPRETRE — 07 62 19 83 09 —</w:t>
      </w:r>
      <w:r w:rsidRPr="00592D35">
        <w:rPr>
          <w:rFonts w:cstheme="minorHAnsi"/>
        </w:rPr>
        <w:t xml:space="preserve"> </w:t>
      </w:r>
      <w:hyperlink r:id="rId13" w:history="1">
        <w:r w:rsidRPr="00592D35">
          <w:rPr>
            <w:rStyle w:val="Hyperlink"/>
            <w:rFonts w:cstheme="minorHAnsi"/>
            <w:color w:val="00B0F0"/>
          </w:rPr>
          <w:t>e.aupretre@agence-mcm.com</w:t>
        </w:r>
      </w:hyperlink>
    </w:p>
    <w:p w14:paraId="3B5A4E4A" w14:textId="77777777" w:rsidR="00662B68" w:rsidRDefault="00662B68" w:rsidP="00662B68">
      <w:pPr>
        <w:tabs>
          <w:tab w:val="left" w:pos="975"/>
        </w:tabs>
        <w:spacing w:after="0"/>
        <w:jc w:val="center"/>
        <w:rPr>
          <w:rStyle w:val="Hyperlink"/>
          <w:rFonts w:cstheme="minorHAnsi"/>
          <w:color w:val="00B0F0"/>
        </w:rPr>
      </w:pPr>
    </w:p>
    <w:p w14:paraId="586C3D60" w14:textId="77777777" w:rsidR="001B68A8" w:rsidRDefault="001B68A8" w:rsidP="00B4617F">
      <w:pPr>
        <w:tabs>
          <w:tab w:val="left" w:pos="975"/>
        </w:tabs>
        <w:spacing w:after="0"/>
        <w:rPr>
          <w:rStyle w:val="Hyperlink"/>
          <w:rFonts w:cstheme="minorHAnsi"/>
          <w:color w:val="00B0F0"/>
        </w:rPr>
      </w:pPr>
    </w:p>
    <w:p w14:paraId="4589839C" w14:textId="77777777" w:rsidR="00B4617F" w:rsidRDefault="00B4617F" w:rsidP="00B4617F">
      <w:pPr>
        <w:tabs>
          <w:tab w:val="left" w:pos="975"/>
        </w:tabs>
        <w:spacing w:after="0"/>
        <w:rPr>
          <w:rStyle w:val="Hyperlink"/>
          <w:rFonts w:cstheme="minorHAnsi"/>
          <w:color w:val="00B0F0"/>
        </w:rPr>
      </w:pPr>
    </w:p>
    <w:p w14:paraId="5AD8D6AA" w14:textId="77777777" w:rsidR="00F73D47" w:rsidRPr="00592D35" w:rsidRDefault="00F73D47" w:rsidP="004F789F">
      <w:pPr>
        <w:tabs>
          <w:tab w:val="left" w:pos="975"/>
        </w:tabs>
        <w:spacing w:after="0"/>
        <w:jc w:val="center"/>
        <w:rPr>
          <w:rFonts w:cstheme="minorHAnsi"/>
          <w:color w:val="00B0F0"/>
        </w:rPr>
      </w:pPr>
    </w:p>
    <w:p w14:paraId="0E2BD2F1" w14:textId="449F042E" w:rsidR="00F925CB" w:rsidRPr="004F789F" w:rsidRDefault="00A25562" w:rsidP="004F789F">
      <w:pPr>
        <w:tabs>
          <w:tab w:val="left" w:pos="4320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  <w:color w:val="0000CC"/>
          <w:sz w:val="24"/>
          <w:szCs w:val="24"/>
          <w:lang w:eastAsia="fr-FR"/>
        </w:rPr>
        <w:drawing>
          <wp:anchor distT="0" distB="0" distL="114300" distR="114300" simplePos="0" relativeHeight="251658241" behindDoc="0" locked="0" layoutInCell="1" allowOverlap="1" wp14:anchorId="4B634358" wp14:editId="231F13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6286" cy="776404"/>
            <wp:effectExtent l="0" t="0" r="8255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upe INP (couleur, RVB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6" cy="776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1C3C9" w14:textId="60DC7916" w:rsidR="00F925CB" w:rsidRDefault="00AE4340" w:rsidP="00F925CB">
      <w:pPr>
        <w:tabs>
          <w:tab w:val="left" w:pos="975"/>
        </w:tabs>
        <w:spacing w:after="0"/>
        <w:jc w:val="center"/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2EA0E" wp14:editId="33ECEAE3">
                <wp:simplePos x="0" y="0"/>
                <wp:positionH relativeFrom="column">
                  <wp:posOffset>1799408</wp:posOffset>
                </wp:positionH>
                <wp:positionV relativeFrom="paragraph">
                  <wp:posOffset>72844</wp:posOffset>
                </wp:positionV>
                <wp:extent cx="4260850" cy="527050"/>
                <wp:effectExtent l="0" t="0" r="635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08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14519" w14:textId="2511F016" w:rsidR="00F925CB" w:rsidRPr="00765442" w:rsidRDefault="00F925CB" w:rsidP="00A25562">
                            <w:pPr>
                              <w:spacing w:after="0" w:line="240" w:lineRule="auto"/>
                              <w:jc w:val="center"/>
                              <w:rPr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765442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Groupe INP : </w:t>
                            </w:r>
                            <w:r w:rsidR="00A25562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c</w:t>
                            </w:r>
                            <w:r w:rsidRPr="00765442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hiffres-clés</w:t>
                            </w:r>
                            <w:r w:rsidR="00A25562">
                              <w:rPr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5442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202</w:t>
                            </w:r>
                            <w:r w:rsidR="00F53A16" w:rsidRPr="00765442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944AFB0" w14:textId="77777777" w:rsidR="00F925CB" w:rsidRDefault="00F925CB" w:rsidP="00F925CB"/>
                          <w:p w14:paraId="0B14EA74" w14:textId="77777777" w:rsidR="00F925CB" w:rsidRDefault="00F925CB" w:rsidP="00F925CB"/>
                          <w:p w14:paraId="3C730CC1" w14:textId="77777777" w:rsidR="00F925CB" w:rsidRDefault="00F925CB" w:rsidP="00F9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EA0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1.7pt;margin-top:5.75pt;width:335.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" stroked="f">
                <v:path arrowok="t"/>
                <v:textbox>
                  <w:txbxContent>
                    <w:p w14:paraId="3B814519" w14:textId="2511F016" w:rsidR="00F925CB" w:rsidRPr="00765442" w:rsidRDefault="00F925CB" w:rsidP="00A25562">
                      <w:pPr>
                        <w:spacing w:after="0" w:line="240" w:lineRule="auto"/>
                        <w:jc w:val="center"/>
                        <w:rPr>
                          <w:color w:val="00B0F0"/>
                          <w:sz w:val="40"/>
                          <w:szCs w:val="40"/>
                        </w:rPr>
                      </w:pPr>
                      <w:r w:rsidRPr="00765442">
                        <w:rPr>
                          <w:b/>
                          <w:color w:val="00B0F0"/>
                          <w:sz w:val="40"/>
                          <w:szCs w:val="40"/>
                        </w:rPr>
                        <w:t xml:space="preserve">Groupe INP : </w:t>
                      </w:r>
                      <w:r w:rsidR="00A25562">
                        <w:rPr>
                          <w:b/>
                          <w:color w:val="00B0F0"/>
                          <w:sz w:val="40"/>
                          <w:szCs w:val="40"/>
                        </w:rPr>
                        <w:t>c</w:t>
                      </w:r>
                      <w:r w:rsidRPr="00765442">
                        <w:rPr>
                          <w:b/>
                          <w:color w:val="00B0F0"/>
                          <w:sz w:val="40"/>
                          <w:szCs w:val="40"/>
                        </w:rPr>
                        <w:t>hiffres-clés</w:t>
                      </w:r>
                      <w:r w:rsidR="00A25562">
                        <w:rPr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r w:rsidRPr="00765442">
                        <w:rPr>
                          <w:b/>
                          <w:color w:val="00B0F0"/>
                          <w:sz w:val="40"/>
                          <w:szCs w:val="40"/>
                        </w:rPr>
                        <w:t>202</w:t>
                      </w:r>
                      <w:r w:rsidR="00F53A16" w:rsidRPr="00765442">
                        <w:rPr>
                          <w:b/>
                          <w:color w:val="00B0F0"/>
                          <w:sz w:val="40"/>
                          <w:szCs w:val="40"/>
                        </w:rPr>
                        <w:t>2</w:t>
                      </w:r>
                    </w:p>
                    <w:p w14:paraId="6944AFB0" w14:textId="77777777" w:rsidR="00F925CB" w:rsidRDefault="00F925CB" w:rsidP="00F925CB"/>
                    <w:p w14:paraId="0B14EA74" w14:textId="77777777" w:rsidR="00F925CB" w:rsidRDefault="00F925CB" w:rsidP="00F925CB"/>
                    <w:p w14:paraId="3C730CC1" w14:textId="77777777" w:rsidR="00F925CB" w:rsidRDefault="00F925CB" w:rsidP="00F925CB"/>
                  </w:txbxContent>
                </v:textbox>
              </v:shape>
            </w:pict>
          </mc:Fallback>
        </mc:AlternateContent>
      </w:r>
    </w:p>
    <w:p w14:paraId="02B8F500" w14:textId="5A5441E0" w:rsidR="00F925CB" w:rsidRDefault="00F925CB" w:rsidP="007C20F0">
      <w:pPr>
        <w:tabs>
          <w:tab w:val="left" w:pos="975"/>
        </w:tabs>
        <w:spacing w:after="0"/>
      </w:pPr>
    </w:p>
    <w:p w14:paraId="53477DF7" w14:textId="39D94FF0" w:rsidR="007C20F0" w:rsidRDefault="007C20F0" w:rsidP="00F925CB">
      <w:pPr>
        <w:tabs>
          <w:tab w:val="left" w:pos="975"/>
        </w:tabs>
        <w:spacing w:after="0"/>
        <w:jc w:val="center"/>
      </w:pPr>
    </w:p>
    <w:p w14:paraId="4AF20861" w14:textId="77777777" w:rsidR="004F789F" w:rsidRDefault="00765442" w:rsidP="000A1DF6">
      <w:pPr>
        <w:tabs>
          <w:tab w:val="left" w:pos="975"/>
        </w:tabs>
        <w:spacing w:after="0"/>
      </w:pPr>
      <w:r>
        <w:tab/>
      </w:r>
      <w:r>
        <w:tab/>
      </w:r>
      <w:r w:rsidR="00A25562">
        <w:t xml:space="preserve">         </w:t>
      </w:r>
    </w:p>
    <w:p w14:paraId="03D8F920" w14:textId="77777777" w:rsidR="004F789F" w:rsidRDefault="004F789F" w:rsidP="000A1DF6">
      <w:pPr>
        <w:tabs>
          <w:tab w:val="left" w:pos="975"/>
        </w:tabs>
        <w:spacing w:after="0"/>
      </w:pPr>
    </w:p>
    <w:p w14:paraId="0C9BA006" w14:textId="35D9E557" w:rsidR="00F925CB" w:rsidRPr="00822C2F" w:rsidRDefault="00F925CB" w:rsidP="004F789F">
      <w:pPr>
        <w:tabs>
          <w:tab w:val="left" w:pos="975"/>
        </w:tabs>
        <w:spacing w:after="0"/>
        <w:jc w:val="center"/>
        <w:rPr>
          <w:color w:val="0000CC"/>
          <w:sz w:val="24"/>
          <w:szCs w:val="24"/>
        </w:rPr>
      </w:pPr>
      <w:r>
        <w:t>Le groupe INP diplôme 1</w:t>
      </w:r>
      <w:r w:rsidR="00D56692">
        <w:t> </w:t>
      </w:r>
      <w:r>
        <w:t xml:space="preserve">ingénieur sur </w:t>
      </w:r>
      <w:r w:rsidR="007C20F0">
        <w:t>6</w:t>
      </w:r>
      <w:r>
        <w:t xml:space="preserve"> par an en </w:t>
      </w:r>
      <w:r w:rsidR="002719FF">
        <w:t>France (17</w:t>
      </w:r>
      <w:r w:rsidR="00D56692">
        <w:t> </w:t>
      </w:r>
      <w:r w:rsidR="002719FF">
        <w:t>%)</w:t>
      </w:r>
    </w:p>
    <w:tbl>
      <w:tblPr>
        <w:tblpPr w:leftFromText="141" w:rightFromText="141" w:vertAnchor="text" w:horzAnchor="margin" w:tblpY="549"/>
        <w:tblW w:w="10392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8"/>
        <w:gridCol w:w="4764"/>
      </w:tblGrid>
      <w:tr w:rsidR="00F925CB" w:rsidRPr="00CC3D39" w14:paraId="39547AC8" w14:textId="77777777" w:rsidTr="00132044">
        <w:trPr>
          <w:trHeight w:val="10912"/>
        </w:trPr>
        <w:tc>
          <w:tcPr>
            <w:tcW w:w="5628" w:type="dxa"/>
            <w:tcBorders>
              <w:top w:val="nil"/>
              <w:left w:val="nil"/>
              <w:bottom w:val="nil"/>
            </w:tcBorders>
          </w:tcPr>
          <w:p w14:paraId="20427D82" w14:textId="77777777" w:rsidR="00F925CB" w:rsidRPr="00765442" w:rsidRDefault="00F925CB" w:rsidP="004D68D9">
            <w:pPr>
              <w:tabs>
                <w:tab w:val="left" w:pos="975"/>
              </w:tabs>
              <w:spacing w:after="0"/>
              <w:jc w:val="right"/>
              <w:rPr>
                <w:b/>
                <w:color w:val="00B0F0"/>
                <w:u w:val="single"/>
              </w:rPr>
            </w:pPr>
            <w:r w:rsidRPr="00765442">
              <w:rPr>
                <w:b/>
                <w:color w:val="00B0F0"/>
                <w:u w:val="single"/>
              </w:rPr>
              <w:t>Spécialisations</w:t>
            </w:r>
          </w:p>
          <w:p w14:paraId="31D5A6EA" w14:textId="77777777" w:rsidR="00F925CB" w:rsidRPr="00EB42F0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6C712BCF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4CAA8502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44BD6B47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31C95C8F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14F0A4A8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6EE9782D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0DB44A91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75CF3CC1" w14:textId="77777777" w:rsidR="00572D2D" w:rsidRDefault="00572D2D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75216FF6" w14:textId="77777777" w:rsidR="00572D2D" w:rsidRDefault="00572D2D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</w:p>
          <w:p w14:paraId="589D45A9" w14:textId="2A5AB6BE" w:rsidR="00F925CB" w:rsidRPr="00765442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B0F0"/>
                <w:u w:val="single"/>
              </w:rPr>
            </w:pPr>
            <w:r w:rsidRPr="00765442">
              <w:rPr>
                <w:b/>
                <w:color w:val="00B0F0"/>
                <w:u w:val="single"/>
              </w:rPr>
              <w:t>Étudiants &amp; Faculté</w:t>
            </w:r>
          </w:p>
          <w:p w14:paraId="24864BF3" w14:textId="77777777" w:rsidR="00F925CB" w:rsidRPr="00B3343F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 w:rsidRPr="00B3343F">
              <w:rPr>
                <w:b/>
              </w:rPr>
              <w:t>Effectif étudiant</w:t>
            </w:r>
            <w:r>
              <w:rPr>
                <w:b/>
              </w:rPr>
              <w:t xml:space="preserve"> total</w:t>
            </w:r>
          </w:p>
          <w:p w14:paraId="55D0FD38" w14:textId="77777777" w:rsidR="00626010" w:rsidRDefault="00626010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Dont en Prépa des INP</w:t>
            </w:r>
          </w:p>
          <w:p w14:paraId="4F1C5DCD" w14:textId="6B98891D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Nombre d’apprentis</w:t>
            </w:r>
          </w:p>
          <w:p w14:paraId="0E4767FA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Enseignants &amp; e</w:t>
            </w:r>
            <w:r w:rsidRPr="00FD7B84">
              <w:rPr>
                <w:b/>
              </w:rPr>
              <w:t>nseignants-chercheurs</w:t>
            </w:r>
          </w:p>
          <w:p w14:paraId="646CA7E0" w14:textId="77777777" w:rsidR="00F925CB" w:rsidRPr="002C16E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 w:rsidRPr="002C16EB">
              <w:rPr>
                <w:b/>
              </w:rPr>
              <w:t>Intervenants extérieurs</w:t>
            </w:r>
          </w:p>
          <w:p w14:paraId="37713636" w14:textId="77777777" w:rsidR="00F925CB" w:rsidRPr="001E661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</w:rPr>
            </w:pPr>
          </w:p>
          <w:p w14:paraId="0D39766F" w14:textId="77777777" w:rsidR="00F925CB" w:rsidRPr="00765442" w:rsidRDefault="00F925CB" w:rsidP="00132044">
            <w:pPr>
              <w:tabs>
                <w:tab w:val="left" w:pos="975"/>
              </w:tabs>
              <w:spacing w:after="0"/>
              <w:rPr>
                <w:b/>
                <w:color w:val="00B0F0"/>
              </w:rPr>
            </w:pPr>
            <w:r w:rsidRPr="00765442">
              <w:rPr>
                <w:b/>
                <w:color w:val="00B0F0"/>
              </w:rPr>
              <w:t xml:space="preserve">                                                </w:t>
            </w:r>
            <w:r w:rsidRPr="00765442">
              <w:rPr>
                <w:b/>
                <w:color w:val="00B0F0"/>
                <w:u w:val="single"/>
              </w:rPr>
              <w:t xml:space="preserve"> Professionnalisation &amp; Insertion</w:t>
            </w:r>
          </w:p>
          <w:p w14:paraId="7081385E" w14:textId="77777777" w:rsidR="00F925CB" w:rsidRPr="001E661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  <w:color w:val="0000FF"/>
                <w:u w:val="single"/>
              </w:rPr>
            </w:pPr>
            <w:r>
              <w:rPr>
                <w:b/>
              </w:rPr>
              <w:t>Nombre de diplômés par an</w:t>
            </w:r>
            <w:r>
              <w:rPr>
                <w:b/>
              </w:rPr>
              <w:br/>
              <w:t>Réseau de diplômés en activité</w:t>
            </w:r>
            <w:r>
              <w:rPr>
                <w:b/>
              </w:rPr>
              <w:br/>
              <w:t>Taux d’insertion</w:t>
            </w:r>
            <w:r>
              <w:rPr>
                <w:b/>
              </w:rPr>
              <w:br/>
              <w:t>Taux d’insertion avant le diplôme</w:t>
            </w:r>
            <w:r>
              <w:rPr>
                <w:b/>
                <w:color w:val="0000FF"/>
              </w:rPr>
              <w:t xml:space="preserve">                      </w:t>
            </w:r>
          </w:p>
          <w:p w14:paraId="285C6942" w14:textId="77777777" w:rsidR="00F925CB" w:rsidRPr="003057DF" w:rsidRDefault="00F925CB" w:rsidP="00132044">
            <w:pPr>
              <w:tabs>
                <w:tab w:val="left" w:pos="975"/>
              </w:tabs>
              <w:spacing w:after="0"/>
              <w:rPr>
                <w:b/>
                <w:color w:val="0000FF"/>
                <w:u w:val="single"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>
              <w:rPr>
                <w:b/>
              </w:rPr>
              <w:br/>
            </w:r>
            <w:r w:rsidRPr="00765442">
              <w:rPr>
                <w:b/>
                <w:color w:val="00B0F0"/>
              </w:rPr>
              <w:t xml:space="preserve">                                   </w:t>
            </w:r>
            <w:r w:rsidRPr="00765442">
              <w:rPr>
                <w:b/>
                <w:color w:val="00B0F0"/>
                <w:u w:val="single"/>
              </w:rPr>
              <w:t>Recherche, Brevets, relations entreprise</w:t>
            </w:r>
          </w:p>
          <w:p w14:paraId="7C3ECD3C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 w:rsidRPr="00CC3D39">
              <w:rPr>
                <w:b/>
              </w:rPr>
              <w:t>Laboratoires de Recherche</w:t>
            </w:r>
          </w:p>
          <w:p w14:paraId="105462D9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Nombre de doctorants</w:t>
            </w:r>
          </w:p>
          <w:p w14:paraId="1060CF9D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Écoles doctorales</w:t>
            </w:r>
          </w:p>
          <w:p w14:paraId="6D097706" w14:textId="77777777" w:rsidR="00F925CB" w:rsidRPr="009347F9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  <w:p w14:paraId="1F281BD7" w14:textId="77777777" w:rsidR="00F925CB" w:rsidRPr="00CC3D39" w:rsidRDefault="00F925CB" w:rsidP="00132044">
            <w:pPr>
              <w:tabs>
                <w:tab w:val="left" w:pos="975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    Brevets déposés depuis 2017</w:t>
            </w:r>
          </w:p>
          <w:p w14:paraId="60C0C7EB" w14:textId="77777777" w:rsidR="00F925CB" w:rsidRPr="00CC3D39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Chaires</w:t>
            </w:r>
          </w:p>
          <w:p w14:paraId="5EC260C7" w14:textId="77777777" w:rsidR="00F925CB" w:rsidRPr="00CC3D39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CARNOT</w:t>
            </w:r>
          </w:p>
          <w:p w14:paraId="6207AD66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Plateaux de transfert de technologie</w:t>
            </w:r>
          </w:p>
          <w:p w14:paraId="5B940C9A" w14:textId="77777777" w:rsidR="00F925CB" w:rsidRPr="00B3343F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Programmes d’Investissements d’Avenir                                                 </w:t>
            </w:r>
          </w:p>
          <w:p w14:paraId="59B45506" w14:textId="77777777" w:rsidR="00F925CB" w:rsidRPr="00B3343F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</w:p>
          <w:p w14:paraId="762EA24A" w14:textId="77777777" w:rsidR="00F925CB" w:rsidRPr="00765442" w:rsidRDefault="00F925CB" w:rsidP="00132044">
            <w:pPr>
              <w:tabs>
                <w:tab w:val="left" w:pos="975"/>
              </w:tabs>
              <w:spacing w:after="0"/>
              <w:rPr>
                <w:b/>
                <w:color w:val="00B0F0"/>
              </w:rPr>
            </w:pPr>
            <w:r w:rsidRPr="00765442">
              <w:rPr>
                <w:b/>
                <w:color w:val="00B0F0"/>
              </w:rPr>
              <w:t xml:space="preserve">                                                                                    </w:t>
            </w:r>
            <w:r w:rsidRPr="00765442">
              <w:rPr>
                <w:b/>
                <w:color w:val="00B0F0"/>
                <w:u w:val="single"/>
              </w:rPr>
              <w:t>International</w:t>
            </w:r>
          </w:p>
          <w:p w14:paraId="7614EC49" w14:textId="77777777" w:rsidR="00F925CB" w:rsidRDefault="00F925CB" w:rsidP="00132044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Accords de coopération</w:t>
            </w:r>
          </w:p>
          <w:p w14:paraId="3E157C17" w14:textId="3FDF421B" w:rsidR="00F925CB" w:rsidRPr="00CC3D39" w:rsidRDefault="00F925CB" w:rsidP="00572D2D">
            <w:pPr>
              <w:tabs>
                <w:tab w:val="left" w:pos="975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Doubles diplômes</w:t>
            </w:r>
            <w:r>
              <w:rPr>
                <w:b/>
              </w:rPr>
              <w:br/>
              <w:t>Réseaux européens et internationaux</w:t>
            </w:r>
          </w:p>
        </w:tc>
        <w:tc>
          <w:tcPr>
            <w:tcW w:w="4764" w:type="dxa"/>
            <w:tcBorders>
              <w:top w:val="nil"/>
              <w:bottom w:val="nil"/>
              <w:right w:val="nil"/>
            </w:tcBorders>
          </w:tcPr>
          <w:p w14:paraId="7B89DE22" w14:textId="761D0F99" w:rsidR="00F925CB" w:rsidRDefault="00F925CB" w:rsidP="00132044">
            <w:pPr>
              <w:tabs>
                <w:tab w:val="left" w:pos="975"/>
              </w:tabs>
              <w:spacing w:after="0"/>
              <w:ind w:right="-162"/>
            </w:pPr>
            <w:r>
              <w:t>92 spécialités d’ingénieurs (initiale/apprentissage)</w:t>
            </w:r>
            <w:r w:rsidR="006E4914">
              <w:t xml:space="preserve"> dans </w:t>
            </w:r>
            <w:r w:rsidR="00600C0B" w:rsidRPr="004848A4">
              <w:rPr>
                <w:b/>
              </w:rPr>
              <w:t>12</w:t>
            </w:r>
            <w:r w:rsidR="00D56692" w:rsidRPr="004848A4">
              <w:t> </w:t>
            </w:r>
            <w:r w:rsidR="006E4914">
              <w:t xml:space="preserve">secteurs d’activité : </w:t>
            </w:r>
          </w:p>
          <w:p w14:paraId="731BBBEE" w14:textId="6138801F" w:rsidR="00F925CB" w:rsidRDefault="00096AA7" w:rsidP="00132044">
            <w:pPr>
              <w:tabs>
                <w:tab w:val="left" w:pos="975"/>
              </w:tabs>
              <w:spacing w:after="0"/>
              <w:ind w:right="-162"/>
            </w:pPr>
            <w:r>
              <w:t>Aéronautique et Spatial</w:t>
            </w:r>
            <w:r w:rsidR="00D56692">
              <w:t> </w:t>
            </w:r>
            <w:r>
              <w:t>; Agriculture Agronomie</w:t>
            </w:r>
            <w:r w:rsidR="00D56692">
              <w:t> </w:t>
            </w:r>
            <w:r>
              <w:t>; Chimie et Santé</w:t>
            </w:r>
            <w:r w:rsidR="00D56692">
              <w:t> </w:t>
            </w:r>
            <w:r>
              <w:t>; Construction et Infrastructures</w:t>
            </w:r>
            <w:r w:rsidR="00D56692">
              <w:t> </w:t>
            </w:r>
            <w:r>
              <w:t>; Eau, environnement, énergies et climat</w:t>
            </w:r>
            <w:r w:rsidR="00D56692">
              <w:t> </w:t>
            </w:r>
            <w:r>
              <w:t xml:space="preserve">; Électronique, systèmes </w:t>
            </w:r>
            <w:r w:rsidR="003528ED">
              <w:t>électriques</w:t>
            </w:r>
            <w:r>
              <w:t xml:space="preserve"> et automatique</w:t>
            </w:r>
            <w:r w:rsidR="00D56692">
              <w:t> ;</w:t>
            </w:r>
            <w:r w:rsidR="00572D2D">
              <w:t xml:space="preserve"> Matériaux</w:t>
            </w:r>
            <w:r w:rsidR="00D56692">
              <w:t> </w:t>
            </w:r>
            <w:r w:rsidR="00572D2D">
              <w:t>; Mécanique et robotique</w:t>
            </w:r>
            <w:r w:rsidR="00D56692">
              <w:t> </w:t>
            </w:r>
            <w:r w:rsidR="00572D2D">
              <w:t>; Numérique Informatique</w:t>
            </w:r>
            <w:r w:rsidR="00D56692">
              <w:t> </w:t>
            </w:r>
            <w:r w:rsidR="00572D2D">
              <w:t>; Numérique Mathématiques et Sciences des Données</w:t>
            </w:r>
            <w:r w:rsidR="00D56692">
              <w:t> </w:t>
            </w:r>
            <w:r w:rsidR="00572D2D">
              <w:t xml:space="preserve">; </w:t>
            </w:r>
            <w:r w:rsidR="001E405A" w:rsidRPr="004848A4">
              <w:t>Physique</w:t>
            </w:r>
            <w:r w:rsidR="001E405A">
              <w:t xml:space="preserve"> ; </w:t>
            </w:r>
            <w:r w:rsidR="00572D2D">
              <w:t xml:space="preserve">Systèmes industriels et d’information. </w:t>
            </w:r>
          </w:p>
          <w:p w14:paraId="6F72998B" w14:textId="77777777" w:rsidR="00572D2D" w:rsidRDefault="00572D2D" w:rsidP="00132044">
            <w:pPr>
              <w:tabs>
                <w:tab w:val="left" w:pos="975"/>
              </w:tabs>
              <w:spacing w:after="0"/>
            </w:pPr>
          </w:p>
          <w:p w14:paraId="3A639D31" w14:textId="77777777" w:rsidR="00572D2D" w:rsidRDefault="00572D2D" w:rsidP="00132044">
            <w:pPr>
              <w:tabs>
                <w:tab w:val="left" w:pos="975"/>
              </w:tabs>
              <w:spacing w:after="0"/>
            </w:pPr>
          </w:p>
          <w:p w14:paraId="0634CD27" w14:textId="7A68EB3F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 xml:space="preserve">Plus de </w:t>
            </w:r>
            <w:r w:rsidR="00EC05CA">
              <w:t>25</w:t>
            </w:r>
            <w:r w:rsidR="00D56692">
              <w:t> </w:t>
            </w:r>
            <w:r w:rsidR="00EC05CA">
              <w:t>000</w:t>
            </w:r>
          </w:p>
          <w:p w14:paraId="5E84B2F3" w14:textId="440A6D27" w:rsidR="00626010" w:rsidRPr="004848A4" w:rsidRDefault="001E405A" w:rsidP="00132044">
            <w:pPr>
              <w:tabs>
                <w:tab w:val="left" w:pos="975"/>
              </w:tabs>
              <w:spacing w:after="0"/>
            </w:pPr>
            <w:r w:rsidRPr="004848A4">
              <w:t>900</w:t>
            </w:r>
          </w:p>
          <w:p w14:paraId="32AEFA9B" w14:textId="40A7354D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>1</w:t>
            </w:r>
            <w:r w:rsidR="00217DD8">
              <w:t>741</w:t>
            </w:r>
          </w:p>
          <w:p w14:paraId="7DD0D0F1" w14:textId="546CAA1F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1700</w:t>
            </w:r>
          </w:p>
          <w:p w14:paraId="4EEC9613" w14:textId="77777777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>2600</w:t>
            </w:r>
          </w:p>
          <w:p w14:paraId="65463FBA" w14:textId="77777777" w:rsidR="00F925CB" w:rsidRDefault="00F925CB" w:rsidP="00132044">
            <w:pPr>
              <w:tabs>
                <w:tab w:val="left" w:pos="975"/>
              </w:tabs>
              <w:spacing w:after="0"/>
            </w:pPr>
          </w:p>
          <w:p w14:paraId="5307A0D4" w14:textId="77777777" w:rsidR="00F925CB" w:rsidRDefault="00F925CB" w:rsidP="00132044">
            <w:pPr>
              <w:tabs>
                <w:tab w:val="left" w:pos="975"/>
              </w:tabs>
              <w:spacing w:after="0"/>
            </w:pPr>
          </w:p>
          <w:p w14:paraId="66B1D22F" w14:textId="661B85F2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6750</w:t>
            </w:r>
          </w:p>
          <w:p w14:paraId="4ED947DD" w14:textId="2DA076E5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132</w:t>
            </w:r>
            <w:r w:rsidR="00D56692">
              <w:t> </w:t>
            </w:r>
            <w:r>
              <w:t>500</w:t>
            </w:r>
          </w:p>
          <w:p w14:paraId="00A6CD9E" w14:textId="01E7F49D" w:rsidR="00F925CB" w:rsidRDefault="00F925CB" w:rsidP="00132044">
            <w:pPr>
              <w:tabs>
                <w:tab w:val="left" w:pos="975"/>
              </w:tabs>
              <w:spacing w:after="0"/>
            </w:pPr>
            <w:r w:rsidRPr="000A1DF6">
              <w:rPr>
                <w:color w:val="000000" w:themeColor="text1"/>
              </w:rPr>
              <w:t>80</w:t>
            </w:r>
            <w:r w:rsidR="00D56692">
              <w:rPr>
                <w:color w:val="000000" w:themeColor="text1"/>
              </w:rPr>
              <w:t> </w:t>
            </w:r>
            <w:r w:rsidRPr="000A1DF6">
              <w:rPr>
                <w:color w:val="000000" w:themeColor="text1"/>
              </w:rPr>
              <w:t xml:space="preserve">% </w:t>
            </w:r>
            <w:r>
              <w:t>(6 mois après l’obtention du diplôme)</w:t>
            </w:r>
          </w:p>
          <w:p w14:paraId="1A2AE232" w14:textId="20C3A94D" w:rsidR="00F925CB" w:rsidRDefault="00794F92" w:rsidP="00132044">
            <w:pPr>
              <w:tabs>
                <w:tab w:val="left" w:pos="975"/>
              </w:tabs>
              <w:spacing w:after="0"/>
            </w:pPr>
            <w:r>
              <w:t>58</w:t>
            </w:r>
            <w:r w:rsidR="00D56692">
              <w:t> </w:t>
            </w:r>
            <w:r w:rsidR="00F925CB">
              <w:t xml:space="preserve">% </w:t>
            </w:r>
          </w:p>
          <w:p w14:paraId="7A3449B1" w14:textId="77777777" w:rsidR="00F925CB" w:rsidRDefault="00F925CB" w:rsidP="00132044">
            <w:pPr>
              <w:tabs>
                <w:tab w:val="left" w:pos="975"/>
              </w:tabs>
              <w:spacing w:after="0"/>
            </w:pPr>
          </w:p>
          <w:p w14:paraId="42FBF31D" w14:textId="77777777" w:rsidR="00F925CB" w:rsidRDefault="00F925CB" w:rsidP="00132044">
            <w:pPr>
              <w:tabs>
                <w:tab w:val="left" w:pos="975"/>
              </w:tabs>
              <w:spacing w:after="0"/>
            </w:pPr>
          </w:p>
          <w:p w14:paraId="56AA7FAB" w14:textId="619F91ED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 xml:space="preserve">90 </w:t>
            </w:r>
            <w:r w:rsidR="00F925CB">
              <w:t>(reconnus au niveau national et international)</w:t>
            </w:r>
          </w:p>
          <w:p w14:paraId="65F09EAE" w14:textId="52474B16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>2</w:t>
            </w:r>
            <w:r w:rsidR="00EC05CA">
              <w:t>629</w:t>
            </w:r>
          </w:p>
          <w:p w14:paraId="5B047810" w14:textId="08B6E258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34</w:t>
            </w:r>
          </w:p>
          <w:p w14:paraId="557EEB82" w14:textId="48BC6CA7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 xml:space="preserve">5800 </w:t>
            </w:r>
            <w:r w:rsidR="00F925CB">
              <w:t>par an</w:t>
            </w:r>
          </w:p>
          <w:p w14:paraId="011DB113" w14:textId="7FA10B6B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288</w:t>
            </w:r>
          </w:p>
          <w:p w14:paraId="6B1EC705" w14:textId="15A79A07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26</w:t>
            </w:r>
          </w:p>
          <w:p w14:paraId="16C5EF99" w14:textId="56DE129B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>14 dont 1</w:t>
            </w:r>
            <w:r w:rsidR="00D56692">
              <w:t> </w:t>
            </w:r>
            <w:r>
              <w:t>tremplin Carnot</w:t>
            </w:r>
          </w:p>
          <w:p w14:paraId="42858B70" w14:textId="1BE1E67C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24</w:t>
            </w:r>
          </w:p>
          <w:p w14:paraId="18430CC6" w14:textId="2EFAB9FA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 xml:space="preserve">2 </w:t>
            </w:r>
            <w:proofErr w:type="spellStart"/>
            <w:r>
              <w:t>IDEx</w:t>
            </w:r>
            <w:proofErr w:type="spellEnd"/>
            <w:r>
              <w:t xml:space="preserve">, </w:t>
            </w:r>
            <w:r w:rsidR="00EC05CA">
              <w:t>25</w:t>
            </w:r>
            <w:r w:rsidR="00D56692">
              <w:t> </w:t>
            </w:r>
            <w:proofErr w:type="spellStart"/>
            <w:r>
              <w:t>LaBEx</w:t>
            </w:r>
            <w:proofErr w:type="spellEnd"/>
            <w:r w:rsidR="00855F09">
              <w:t xml:space="preserve">, </w:t>
            </w:r>
            <w:r>
              <w:t>1</w:t>
            </w:r>
            <w:r w:rsidR="00855F09">
              <w:t>6</w:t>
            </w:r>
            <w:r w:rsidR="00D56692">
              <w:t> </w:t>
            </w:r>
            <w:proofErr w:type="spellStart"/>
            <w:r>
              <w:t>EquipEx</w:t>
            </w:r>
            <w:proofErr w:type="spellEnd"/>
            <w:r w:rsidR="00855F09">
              <w:t xml:space="preserve"> et</w:t>
            </w:r>
            <w:r w:rsidR="00EC05CA">
              <w:t xml:space="preserve"> 1</w:t>
            </w:r>
            <w:r w:rsidR="00D56692">
              <w:t> </w:t>
            </w:r>
            <w:r w:rsidR="00855F09">
              <w:t>ISITE</w:t>
            </w:r>
          </w:p>
          <w:p w14:paraId="5F4DCD89" w14:textId="77777777" w:rsidR="00F925CB" w:rsidRDefault="00F925CB" w:rsidP="00132044">
            <w:pPr>
              <w:tabs>
                <w:tab w:val="left" w:pos="975"/>
              </w:tabs>
              <w:spacing w:after="0"/>
            </w:pPr>
          </w:p>
          <w:p w14:paraId="46D2F728" w14:textId="77777777" w:rsidR="00F925CB" w:rsidRDefault="00F925CB" w:rsidP="00132044">
            <w:pPr>
              <w:tabs>
                <w:tab w:val="left" w:pos="975"/>
              </w:tabs>
              <w:spacing w:after="0"/>
            </w:pPr>
          </w:p>
          <w:p w14:paraId="26609313" w14:textId="05DFA4C2" w:rsidR="00F925CB" w:rsidRDefault="00EC05CA" w:rsidP="00132044">
            <w:pPr>
              <w:tabs>
                <w:tab w:val="left" w:pos="975"/>
              </w:tabs>
              <w:spacing w:after="0"/>
            </w:pPr>
            <w:r>
              <w:t>1470</w:t>
            </w:r>
          </w:p>
          <w:p w14:paraId="61F6F5B3" w14:textId="6FC054B4" w:rsidR="00F925CB" w:rsidRDefault="00F925CB" w:rsidP="00132044">
            <w:pPr>
              <w:tabs>
                <w:tab w:val="left" w:pos="975"/>
              </w:tabs>
              <w:spacing w:after="0"/>
            </w:pPr>
            <w:r>
              <w:t xml:space="preserve">Plus de </w:t>
            </w:r>
            <w:r w:rsidR="00EC05CA">
              <w:t>180</w:t>
            </w:r>
          </w:p>
          <w:p w14:paraId="0D5EBFB6" w14:textId="77777777" w:rsidR="00F925CB" w:rsidRDefault="00F925CB" w:rsidP="00572D2D">
            <w:pPr>
              <w:tabs>
                <w:tab w:val="left" w:pos="975"/>
              </w:tabs>
              <w:spacing w:after="0"/>
            </w:pPr>
            <w:r>
              <w:t>Erasmus +, programmes FITEC</w:t>
            </w:r>
          </w:p>
          <w:p w14:paraId="674E13A4" w14:textId="6C943915" w:rsidR="00A25562" w:rsidRPr="00CC3D39" w:rsidRDefault="00A25562" w:rsidP="00572D2D">
            <w:pPr>
              <w:tabs>
                <w:tab w:val="left" w:pos="975"/>
              </w:tabs>
              <w:spacing w:after="0"/>
            </w:pPr>
          </w:p>
        </w:tc>
      </w:tr>
    </w:tbl>
    <w:p w14:paraId="02BB44C0" w14:textId="77777777" w:rsidR="000A1DF6" w:rsidRDefault="000A1DF6" w:rsidP="004D68D9">
      <w:pPr>
        <w:tabs>
          <w:tab w:val="left" w:pos="975"/>
        </w:tabs>
        <w:spacing w:after="0"/>
        <w:rPr>
          <w:b/>
          <w:color w:val="000000" w:themeColor="text1"/>
          <w:u w:val="single"/>
        </w:rPr>
      </w:pPr>
    </w:p>
    <w:p w14:paraId="3C422FCE" w14:textId="77777777" w:rsidR="004D68D9" w:rsidRDefault="004D68D9" w:rsidP="003537D8">
      <w:pPr>
        <w:tabs>
          <w:tab w:val="left" w:pos="975"/>
        </w:tabs>
        <w:spacing w:after="0"/>
        <w:jc w:val="center"/>
        <w:rPr>
          <w:b/>
          <w:color w:val="000000" w:themeColor="text1"/>
          <w:u w:val="single"/>
        </w:rPr>
      </w:pPr>
    </w:p>
    <w:p w14:paraId="644FE10E" w14:textId="08B253B6" w:rsidR="00F925CB" w:rsidRPr="00765442" w:rsidRDefault="00F925CB" w:rsidP="003537D8">
      <w:pPr>
        <w:tabs>
          <w:tab w:val="left" w:pos="975"/>
        </w:tabs>
        <w:spacing w:after="0"/>
        <w:jc w:val="center"/>
        <w:rPr>
          <w:color w:val="00B0F0"/>
        </w:rPr>
      </w:pPr>
      <w:r w:rsidRPr="00467010">
        <w:rPr>
          <w:b/>
          <w:color w:val="000000" w:themeColor="text1"/>
          <w:u w:val="single"/>
        </w:rPr>
        <w:t>Contact-Presse</w:t>
      </w:r>
      <w:r w:rsidRPr="00041D95">
        <w:rPr>
          <w:color w:val="000000" w:themeColor="text1"/>
        </w:rPr>
        <w:t xml:space="preserve"> </w:t>
      </w:r>
      <w:r w:rsidR="00D56692">
        <w:rPr>
          <w:color w:val="000000" w:themeColor="text1"/>
        </w:rPr>
        <w:t>—</w:t>
      </w:r>
      <w:r w:rsidRPr="00041D95">
        <w:rPr>
          <w:color w:val="000000" w:themeColor="text1"/>
        </w:rPr>
        <w:t xml:space="preserve"> Agence</w:t>
      </w:r>
      <w:r w:rsidR="00D56692">
        <w:rPr>
          <w:color w:val="000000" w:themeColor="text1"/>
        </w:rPr>
        <w:t> </w:t>
      </w:r>
      <w:r w:rsidRPr="00041D95">
        <w:rPr>
          <w:color w:val="000000" w:themeColor="text1"/>
        </w:rPr>
        <w:t xml:space="preserve">MCM </w:t>
      </w:r>
      <w:r w:rsidR="00D56692">
        <w:rPr>
          <w:color w:val="000000" w:themeColor="text1"/>
        </w:rPr>
        <w:t>—</w:t>
      </w:r>
      <w:r w:rsidRPr="00041D95">
        <w:rPr>
          <w:color w:val="000000" w:themeColor="text1"/>
        </w:rPr>
        <w:t xml:space="preserve"> </w:t>
      </w:r>
      <w:r w:rsidR="00D56692">
        <w:rPr>
          <w:color w:val="000000" w:themeColor="text1"/>
        </w:rPr>
        <w:t>É</w:t>
      </w:r>
      <w:r w:rsidRPr="00041D95">
        <w:rPr>
          <w:color w:val="000000" w:themeColor="text1"/>
        </w:rPr>
        <w:t xml:space="preserve">lodie AUPRETRE </w:t>
      </w:r>
      <w:r w:rsidR="00D56692">
        <w:rPr>
          <w:color w:val="000000" w:themeColor="text1"/>
        </w:rPr>
        <w:t>—</w:t>
      </w:r>
      <w:r w:rsidRPr="00041D95">
        <w:rPr>
          <w:color w:val="000000" w:themeColor="text1"/>
        </w:rPr>
        <w:t xml:space="preserve"> 07</w:t>
      </w:r>
      <w:r w:rsidR="00D56692">
        <w:rPr>
          <w:color w:val="000000" w:themeColor="text1"/>
        </w:rPr>
        <w:t> 62 19 83 </w:t>
      </w:r>
      <w:r w:rsidRPr="00041D95">
        <w:rPr>
          <w:color w:val="000000" w:themeColor="text1"/>
        </w:rPr>
        <w:t xml:space="preserve">09 </w:t>
      </w:r>
      <w:r w:rsidR="00D56692">
        <w:rPr>
          <w:color w:val="000000" w:themeColor="text1"/>
        </w:rPr>
        <w:t>—</w:t>
      </w:r>
      <w:r w:rsidRPr="00041D95">
        <w:t xml:space="preserve"> </w:t>
      </w:r>
      <w:hyperlink r:id="rId15" w:history="1">
        <w:r w:rsidRPr="00765442">
          <w:rPr>
            <w:rStyle w:val="Hyperlink"/>
            <w:rFonts w:cstheme="minorBidi"/>
            <w:color w:val="00B0F0"/>
          </w:rPr>
          <w:t>e.aupretre@agence-mcm.com</w:t>
        </w:r>
      </w:hyperlink>
    </w:p>
    <w:sectPr w:rsidR="00F925CB" w:rsidRPr="00765442" w:rsidSect="00BE6E16">
      <w:pgSz w:w="11906" w:h="16838"/>
      <w:pgMar w:top="720" w:right="991" w:bottom="397" w:left="992" w:header="709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odie AUPRETRE" w:date="2022-07-11T16:04:00Z" w:initials="EA">
    <w:p w14:paraId="604485E4" w14:textId="77777777" w:rsidR="00132044" w:rsidRDefault="00132044" w:rsidP="00132044">
      <w:pPr>
        <w:pStyle w:val="CommentText"/>
      </w:pPr>
      <w:r>
        <w:rPr>
          <w:rStyle w:val="CommentReference"/>
        </w:rPr>
        <w:annotationRef/>
      </w:r>
      <w:r>
        <w:rPr>
          <w:color w:val="00B050"/>
        </w:rPr>
        <w:t>ajoute-t-on ici un mot pour dire que des discussions sont en cours pour la création d’autres INP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4485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C873" w16cex:dateUtc="2022-07-11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4485E4" w16cid:durableId="2676C8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15BB" w14:textId="77777777" w:rsidR="00C0718A" w:rsidRDefault="00C0718A" w:rsidP="00922164">
      <w:pPr>
        <w:spacing w:after="0" w:line="240" w:lineRule="auto"/>
      </w:pPr>
      <w:r>
        <w:separator/>
      </w:r>
    </w:p>
  </w:endnote>
  <w:endnote w:type="continuationSeparator" w:id="0">
    <w:p w14:paraId="43606204" w14:textId="77777777" w:rsidR="00C0718A" w:rsidRDefault="00C0718A" w:rsidP="00922164">
      <w:pPr>
        <w:spacing w:after="0" w:line="240" w:lineRule="auto"/>
      </w:pPr>
      <w:r>
        <w:continuationSeparator/>
      </w:r>
    </w:p>
  </w:endnote>
  <w:endnote w:type="continuationNotice" w:id="1">
    <w:p w14:paraId="46CAC23D" w14:textId="77777777" w:rsidR="000274C7" w:rsidRDefault="00027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988D" w14:textId="77777777" w:rsidR="00C0718A" w:rsidRDefault="00C0718A" w:rsidP="00922164">
      <w:pPr>
        <w:spacing w:after="0" w:line="240" w:lineRule="auto"/>
      </w:pPr>
      <w:r>
        <w:separator/>
      </w:r>
    </w:p>
  </w:footnote>
  <w:footnote w:type="continuationSeparator" w:id="0">
    <w:p w14:paraId="713906E8" w14:textId="77777777" w:rsidR="00C0718A" w:rsidRDefault="00C0718A" w:rsidP="00922164">
      <w:pPr>
        <w:spacing w:after="0" w:line="240" w:lineRule="auto"/>
      </w:pPr>
      <w:r>
        <w:continuationSeparator/>
      </w:r>
    </w:p>
  </w:footnote>
  <w:footnote w:type="continuationNotice" w:id="1">
    <w:p w14:paraId="712E396B" w14:textId="77777777" w:rsidR="000274C7" w:rsidRDefault="000274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odie AUPRETRE">
    <w15:presenceInfo w15:providerId="None" w15:userId="Elodie AUPRE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705F"/>
    <w:rsid w:val="00022544"/>
    <w:rsid w:val="000274C7"/>
    <w:rsid w:val="00030371"/>
    <w:rsid w:val="00036E1F"/>
    <w:rsid w:val="00043228"/>
    <w:rsid w:val="000433E5"/>
    <w:rsid w:val="00053E86"/>
    <w:rsid w:val="000554AB"/>
    <w:rsid w:val="00056046"/>
    <w:rsid w:val="0006455B"/>
    <w:rsid w:val="00064D86"/>
    <w:rsid w:val="0006557A"/>
    <w:rsid w:val="0006560D"/>
    <w:rsid w:val="000661D4"/>
    <w:rsid w:val="00070396"/>
    <w:rsid w:val="00083E22"/>
    <w:rsid w:val="00084143"/>
    <w:rsid w:val="0008473F"/>
    <w:rsid w:val="00084795"/>
    <w:rsid w:val="00090E6C"/>
    <w:rsid w:val="000929A9"/>
    <w:rsid w:val="0009320F"/>
    <w:rsid w:val="00095A05"/>
    <w:rsid w:val="00096AA7"/>
    <w:rsid w:val="000A1DF6"/>
    <w:rsid w:val="000B336B"/>
    <w:rsid w:val="000B785A"/>
    <w:rsid w:val="000C110F"/>
    <w:rsid w:val="000C56B1"/>
    <w:rsid w:val="000C723E"/>
    <w:rsid w:val="000D0BBC"/>
    <w:rsid w:val="000D5BB6"/>
    <w:rsid w:val="000E58FB"/>
    <w:rsid w:val="000F10F4"/>
    <w:rsid w:val="000F6D8F"/>
    <w:rsid w:val="00113E87"/>
    <w:rsid w:val="001175CE"/>
    <w:rsid w:val="0012462B"/>
    <w:rsid w:val="00132044"/>
    <w:rsid w:val="00155808"/>
    <w:rsid w:val="00157936"/>
    <w:rsid w:val="001631BD"/>
    <w:rsid w:val="001841BD"/>
    <w:rsid w:val="00191C5E"/>
    <w:rsid w:val="001929F4"/>
    <w:rsid w:val="00193114"/>
    <w:rsid w:val="00194EED"/>
    <w:rsid w:val="001A38CF"/>
    <w:rsid w:val="001B147E"/>
    <w:rsid w:val="001B68A8"/>
    <w:rsid w:val="001C2B29"/>
    <w:rsid w:val="001D3CF4"/>
    <w:rsid w:val="001D69DD"/>
    <w:rsid w:val="001D7712"/>
    <w:rsid w:val="001E405A"/>
    <w:rsid w:val="001F3A49"/>
    <w:rsid w:val="001F3AC5"/>
    <w:rsid w:val="002058D0"/>
    <w:rsid w:val="00216DC0"/>
    <w:rsid w:val="00217739"/>
    <w:rsid w:val="00217DD8"/>
    <w:rsid w:val="00220F45"/>
    <w:rsid w:val="00225B3E"/>
    <w:rsid w:val="00226C14"/>
    <w:rsid w:val="00232F16"/>
    <w:rsid w:val="002344DF"/>
    <w:rsid w:val="00244835"/>
    <w:rsid w:val="00244FC5"/>
    <w:rsid w:val="002475FE"/>
    <w:rsid w:val="00247665"/>
    <w:rsid w:val="00251349"/>
    <w:rsid w:val="002520DF"/>
    <w:rsid w:val="0025321F"/>
    <w:rsid w:val="00254715"/>
    <w:rsid w:val="00261120"/>
    <w:rsid w:val="00267255"/>
    <w:rsid w:val="002719FF"/>
    <w:rsid w:val="00276F3D"/>
    <w:rsid w:val="002802A9"/>
    <w:rsid w:val="00280418"/>
    <w:rsid w:val="00281CE7"/>
    <w:rsid w:val="002847C5"/>
    <w:rsid w:val="002947AA"/>
    <w:rsid w:val="00294DD7"/>
    <w:rsid w:val="002A1698"/>
    <w:rsid w:val="002A1DFA"/>
    <w:rsid w:val="002A23D9"/>
    <w:rsid w:val="002A77B6"/>
    <w:rsid w:val="002C35B8"/>
    <w:rsid w:val="002C7180"/>
    <w:rsid w:val="002E7886"/>
    <w:rsid w:val="002F3E55"/>
    <w:rsid w:val="00306682"/>
    <w:rsid w:val="00311CA5"/>
    <w:rsid w:val="00324EA3"/>
    <w:rsid w:val="00327398"/>
    <w:rsid w:val="00330F46"/>
    <w:rsid w:val="00350298"/>
    <w:rsid w:val="003528ED"/>
    <w:rsid w:val="003537D8"/>
    <w:rsid w:val="00364A13"/>
    <w:rsid w:val="003732E4"/>
    <w:rsid w:val="00376F65"/>
    <w:rsid w:val="00380EFD"/>
    <w:rsid w:val="0038115A"/>
    <w:rsid w:val="00381583"/>
    <w:rsid w:val="003842FD"/>
    <w:rsid w:val="003930A4"/>
    <w:rsid w:val="00393183"/>
    <w:rsid w:val="003977DE"/>
    <w:rsid w:val="003A6941"/>
    <w:rsid w:val="003B2FDA"/>
    <w:rsid w:val="003B3413"/>
    <w:rsid w:val="003D08C7"/>
    <w:rsid w:val="003D11D5"/>
    <w:rsid w:val="003D17B2"/>
    <w:rsid w:val="003D3EB8"/>
    <w:rsid w:val="003D56AC"/>
    <w:rsid w:val="003E307C"/>
    <w:rsid w:val="003E5B2C"/>
    <w:rsid w:val="003E6694"/>
    <w:rsid w:val="003F2284"/>
    <w:rsid w:val="00400911"/>
    <w:rsid w:val="004018E5"/>
    <w:rsid w:val="00401F45"/>
    <w:rsid w:val="00405C42"/>
    <w:rsid w:val="0041267D"/>
    <w:rsid w:val="0043318A"/>
    <w:rsid w:val="004351B6"/>
    <w:rsid w:val="00435AFA"/>
    <w:rsid w:val="00436CB7"/>
    <w:rsid w:val="00447068"/>
    <w:rsid w:val="0045432E"/>
    <w:rsid w:val="004652EA"/>
    <w:rsid w:val="00483650"/>
    <w:rsid w:val="004848A4"/>
    <w:rsid w:val="00490510"/>
    <w:rsid w:val="004929F7"/>
    <w:rsid w:val="00496045"/>
    <w:rsid w:val="0049771D"/>
    <w:rsid w:val="004B6001"/>
    <w:rsid w:val="004D68D9"/>
    <w:rsid w:val="004E03E0"/>
    <w:rsid w:val="004E091D"/>
    <w:rsid w:val="004E4311"/>
    <w:rsid w:val="004E6EC9"/>
    <w:rsid w:val="004F326B"/>
    <w:rsid w:val="004F695C"/>
    <w:rsid w:val="004F789F"/>
    <w:rsid w:val="00502891"/>
    <w:rsid w:val="005052A3"/>
    <w:rsid w:val="005101DD"/>
    <w:rsid w:val="00511750"/>
    <w:rsid w:val="00513143"/>
    <w:rsid w:val="005133F2"/>
    <w:rsid w:val="00514F55"/>
    <w:rsid w:val="005153EB"/>
    <w:rsid w:val="00515B4D"/>
    <w:rsid w:val="0052696A"/>
    <w:rsid w:val="00531337"/>
    <w:rsid w:val="00533399"/>
    <w:rsid w:val="00533715"/>
    <w:rsid w:val="00553265"/>
    <w:rsid w:val="0056084B"/>
    <w:rsid w:val="00560B20"/>
    <w:rsid w:val="0057198F"/>
    <w:rsid w:val="00571E7F"/>
    <w:rsid w:val="00572D2D"/>
    <w:rsid w:val="00592D35"/>
    <w:rsid w:val="0059674D"/>
    <w:rsid w:val="005A4A60"/>
    <w:rsid w:val="005A55C9"/>
    <w:rsid w:val="005D3260"/>
    <w:rsid w:val="005D46CF"/>
    <w:rsid w:val="005E400E"/>
    <w:rsid w:val="00600C0B"/>
    <w:rsid w:val="00602889"/>
    <w:rsid w:val="0061564A"/>
    <w:rsid w:val="00625105"/>
    <w:rsid w:val="00625882"/>
    <w:rsid w:val="00626010"/>
    <w:rsid w:val="00630C80"/>
    <w:rsid w:val="00634AFB"/>
    <w:rsid w:val="0064073C"/>
    <w:rsid w:val="0064364A"/>
    <w:rsid w:val="00645A65"/>
    <w:rsid w:val="006473FD"/>
    <w:rsid w:val="00654C1F"/>
    <w:rsid w:val="00654CFC"/>
    <w:rsid w:val="00656E0E"/>
    <w:rsid w:val="00661071"/>
    <w:rsid w:val="00662B68"/>
    <w:rsid w:val="0066452D"/>
    <w:rsid w:val="00680EB8"/>
    <w:rsid w:val="00691C2D"/>
    <w:rsid w:val="00693946"/>
    <w:rsid w:val="006B1267"/>
    <w:rsid w:val="006B72CD"/>
    <w:rsid w:val="006B7F69"/>
    <w:rsid w:val="006C1577"/>
    <w:rsid w:val="006C2318"/>
    <w:rsid w:val="006C2CDC"/>
    <w:rsid w:val="006C3243"/>
    <w:rsid w:val="006C4898"/>
    <w:rsid w:val="006D27AE"/>
    <w:rsid w:val="006D474C"/>
    <w:rsid w:val="006E4914"/>
    <w:rsid w:val="006F0F4E"/>
    <w:rsid w:val="006F539D"/>
    <w:rsid w:val="00710FF6"/>
    <w:rsid w:val="007133D0"/>
    <w:rsid w:val="00717DCA"/>
    <w:rsid w:val="00720401"/>
    <w:rsid w:val="00720C7F"/>
    <w:rsid w:val="007226FF"/>
    <w:rsid w:val="007249D3"/>
    <w:rsid w:val="00731824"/>
    <w:rsid w:val="0073519D"/>
    <w:rsid w:val="00737395"/>
    <w:rsid w:val="00743B66"/>
    <w:rsid w:val="007508F2"/>
    <w:rsid w:val="00764638"/>
    <w:rsid w:val="00765442"/>
    <w:rsid w:val="00775564"/>
    <w:rsid w:val="00777560"/>
    <w:rsid w:val="00780EE9"/>
    <w:rsid w:val="00783BBF"/>
    <w:rsid w:val="00794F92"/>
    <w:rsid w:val="007A3C7D"/>
    <w:rsid w:val="007A4839"/>
    <w:rsid w:val="007A5CAD"/>
    <w:rsid w:val="007A6746"/>
    <w:rsid w:val="007A6D48"/>
    <w:rsid w:val="007B2276"/>
    <w:rsid w:val="007B4215"/>
    <w:rsid w:val="007C1775"/>
    <w:rsid w:val="007C20F0"/>
    <w:rsid w:val="007C44E0"/>
    <w:rsid w:val="007D2078"/>
    <w:rsid w:val="007D7E88"/>
    <w:rsid w:val="007E2488"/>
    <w:rsid w:val="007E2960"/>
    <w:rsid w:val="007E5E09"/>
    <w:rsid w:val="007E7C49"/>
    <w:rsid w:val="007F0ECD"/>
    <w:rsid w:val="00804B73"/>
    <w:rsid w:val="008201B6"/>
    <w:rsid w:val="00821924"/>
    <w:rsid w:val="00822F40"/>
    <w:rsid w:val="00824028"/>
    <w:rsid w:val="008240CF"/>
    <w:rsid w:val="0082527D"/>
    <w:rsid w:val="0082595B"/>
    <w:rsid w:val="00825E7C"/>
    <w:rsid w:val="00827422"/>
    <w:rsid w:val="0083373A"/>
    <w:rsid w:val="00834EB4"/>
    <w:rsid w:val="00835505"/>
    <w:rsid w:val="00837A05"/>
    <w:rsid w:val="00840924"/>
    <w:rsid w:val="00845442"/>
    <w:rsid w:val="00855ECE"/>
    <w:rsid w:val="00855F09"/>
    <w:rsid w:val="00857877"/>
    <w:rsid w:val="00860CB0"/>
    <w:rsid w:val="008627DD"/>
    <w:rsid w:val="00864C98"/>
    <w:rsid w:val="00865F5B"/>
    <w:rsid w:val="0087328A"/>
    <w:rsid w:val="00875890"/>
    <w:rsid w:val="008872EC"/>
    <w:rsid w:val="00896F6C"/>
    <w:rsid w:val="008A07CF"/>
    <w:rsid w:val="008A6913"/>
    <w:rsid w:val="008B4AD7"/>
    <w:rsid w:val="008B77AE"/>
    <w:rsid w:val="008C03BD"/>
    <w:rsid w:val="008C2939"/>
    <w:rsid w:val="008D76A8"/>
    <w:rsid w:val="008E0EC9"/>
    <w:rsid w:val="008E6E42"/>
    <w:rsid w:val="009062E0"/>
    <w:rsid w:val="009119FB"/>
    <w:rsid w:val="009122FA"/>
    <w:rsid w:val="009142DE"/>
    <w:rsid w:val="00915AC6"/>
    <w:rsid w:val="00922164"/>
    <w:rsid w:val="00922D65"/>
    <w:rsid w:val="00923E89"/>
    <w:rsid w:val="009278CB"/>
    <w:rsid w:val="00927BBD"/>
    <w:rsid w:val="00931139"/>
    <w:rsid w:val="009321F0"/>
    <w:rsid w:val="0093310C"/>
    <w:rsid w:val="0093771F"/>
    <w:rsid w:val="009450DB"/>
    <w:rsid w:val="00955F6D"/>
    <w:rsid w:val="009669BA"/>
    <w:rsid w:val="00974670"/>
    <w:rsid w:val="00980DEA"/>
    <w:rsid w:val="00981F6C"/>
    <w:rsid w:val="00982A20"/>
    <w:rsid w:val="00983392"/>
    <w:rsid w:val="009839A3"/>
    <w:rsid w:val="00993285"/>
    <w:rsid w:val="009A624F"/>
    <w:rsid w:val="009A7536"/>
    <w:rsid w:val="009D0D55"/>
    <w:rsid w:val="009D526C"/>
    <w:rsid w:val="009F7C13"/>
    <w:rsid w:val="00A0061F"/>
    <w:rsid w:val="00A10E6A"/>
    <w:rsid w:val="00A11834"/>
    <w:rsid w:val="00A12432"/>
    <w:rsid w:val="00A17F66"/>
    <w:rsid w:val="00A220F7"/>
    <w:rsid w:val="00A25562"/>
    <w:rsid w:val="00A27EB6"/>
    <w:rsid w:val="00A375B9"/>
    <w:rsid w:val="00A40A6A"/>
    <w:rsid w:val="00A43494"/>
    <w:rsid w:val="00A43C52"/>
    <w:rsid w:val="00A47943"/>
    <w:rsid w:val="00A538D8"/>
    <w:rsid w:val="00A618D5"/>
    <w:rsid w:val="00A70A9B"/>
    <w:rsid w:val="00A74405"/>
    <w:rsid w:val="00A76C99"/>
    <w:rsid w:val="00A77764"/>
    <w:rsid w:val="00A837B0"/>
    <w:rsid w:val="00A83AE8"/>
    <w:rsid w:val="00A90D3B"/>
    <w:rsid w:val="00AA4AAA"/>
    <w:rsid w:val="00AB5D1B"/>
    <w:rsid w:val="00AC3339"/>
    <w:rsid w:val="00AC4516"/>
    <w:rsid w:val="00AD2567"/>
    <w:rsid w:val="00AD3CF6"/>
    <w:rsid w:val="00AD3F31"/>
    <w:rsid w:val="00AD76E5"/>
    <w:rsid w:val="00AE4340"/>
    <w:rsid w:val="00AE5C5F"/>
    <w:rsid w:val="00B00861"/>
    <w:rsid w:val="00B06846"/>
    <w:rsid w:val="00B16997"/>
    <w:rsid w:val="00B22662"/>
    <w:rsid w:val="00B23485"/>
    <w:rsid w:val="00B2795E"/>
    <w:rsid w:val="00B37A65"/>
    <w:rsid w:val="00B4617F"/>
    <w:rsid w:val="00B47B48"/>
    <w:rsid w:val="00B54E35"/>
    <w:rsid w:val="00B54E8A"/>
    <w:rsid w:val="00B60802"/>
    <w:rsid w:val="00B67347"/>
    <w:rsid w:val="00B81F50"/>
    <w:rsid w:val="00B82B19"/>
    <w:rsid w:val="00B90019"/>
    <w:rsid w:val="00BA1BAC"/>
    <w:rsid w:val="00BB239C"/>
    <w:rsid w:val="00BB3ECE"/>
    <w:rsid w:val="00BB47C5"/>
    <w:rsid w:val="00BC220C"/>
    <w:rsid w:val="00BC4620"/>
    <w:rsid w:val="00BC593D"/>
    <w:rsid w:val="00BD13C2"/>
    <w:rsid w:val="00BD5E6B"/>
    <w:rsid w:val="00BD62B5"/>
    <w:rsid w:val="00BE133E"/>
    <w:rsid w:val="00BE174F"/>
    <w:rsid w:val="00BE6E16"/>
    <w:rsid w:val="00BF193A"/>
    <w:rsid w:val="00BF3D37"/>
    <w:rsid w:val="00BF77B0"/>
    <w:rsid w:val="00C02550"/>
    <w:rsid w:val="00C057C2"/>
    <w:rsid w:val="00C0718A"/>
    <w:rsid w:val="00C10511"/>
    <w:rsid w:val="00C12182"/>
    <w:rsid w:val="00C1723F"/>
    <w:rsid w:val="00C24E7F"/>
    <w:rsid w:val="00C3041E"/>
    <w:rsid w:val="00C362EB"/>
    <w:rsid w:val="00C367B4"/>
    <w:rsid w:val="00C40621"/>
    <w:rsid w:val="00C41020"/>
    <w:rsid w:val="00C51150"/>
    <w:rsid w:val="00C54EAB"/>
    <w:rsid w:val="00C6267E"/>
    <w:rsid w:val="00C63548"/>
    <w:rsid w:val="00C7066C"/>
    <w:rsid w:val="00C70E30"/>
    <w:rsid w:val="00C774AC"/>
    <w:rsid w:val="00C801B7"/>
    <w:rsid w:val="00C80FA5"/>
    <w:rsid w:val="00C87F90"/>
    <w:rsid w:val="00C9363E"/>
    <w:rsid w:val="00CA0753"/>
    <w:rsid w:val="00CA2307"/>
    <w:rsid w:val="00CA464C"/>
    <w:rsid w:val="00CA5300"/>
    <w:rsid w:val="00CA793D"/>
    <w:rsid w:val="00CC6A7B"/>
    <w:rsid w:val="00CE1ABF"/>
    <w:rsid w:val="00CE449D"/>
    <w:rsid w:val="00CE4BB1"/>
    <w:rsid w:val="00CE53C7"/>
    <w:rsid w:val="00CE5699"/>
    <w:rsid w:val="00CE7BE9"/>
    <w:rsid w:val="00CF2C24"/>
    <w:rsid w:val="00D03837"/>
    <w:rsid w:val="00D1206D"/>
    <w:rsid w:val="00D144A9"/>
    <w:rsid w:val="00D32F1C"/>
    <w:rsid w:val="00D36950"/>
    <w:rsid w:val="00D454E9"/>
    <w:rsid w:val="00D5642F"/>
    <w:rsid w:val="00D56692"/>
    <w:rsid w:val="00D56D57"/>
    <w:rsid w:val="00D71107"/>
    <w:rsid w:val="00D71377"/>
    <w:rsid w:val="00D73323"/>
    <w:rsid w:val="00D7396A"/>
    <w:rsid w:val="00D80361"/>
    <w:rsid w:val="00D83F3F"/>
    <w:rsid w:val="00D85677"/>
    <w:rsid w:val="00D90EE2"/>
    <w:rsid w:val="00D9298C"/>
    <w:rsid w:val="00DA190C"/>
    <w:rsid w:val="00DA213F"/>
    <w:rsid w:val="00DA7F50"/>
    <w:rsid w:val="00DB5884"/>
    <w:rsid w:val="00DC163B"/>
    <w:rsid w:val="00DC2806"/>
    <w:rsid w:val="00DC2C44"/>
    <w:rsid w:val="00DD2978"/>
    <w:rsid w:val="00DD55C7"/>
    <w:rsid w:val="00DE0614"/>
    <w:rsid w:val="00DF2863"/>
    <w:rsid w:val="00DF7944"/>
    <w:rsid w:val="00E02E91"/>
    <w:rsid w:val="00E048B7"/>
    <w:rsid w:val="00E06B0E"/>
    <w:rsid w:val="00E159AC"/>
    <w:rsid w:val="00E23187"/>
    <w:rsid w:val="00E3343A"/>
    <w:rsid w:val="00E34A0F"/>
    <w:rsid w:val="00E34A66"/>
    <w:rsid w:val="00E36310"/>
    <w:rsid w:val="00E40284"/>
    <w:rsid w:val="00E40618"/>
    <w:rsid w:val="00E42F3A"/>
    <w:rsid w:val="00E44E63"/>
    <w:rsid w:val="00E5072D"/>
    <w:rsid w:val="00E56CE3"/>
    <w:rsid w:val="00E60BE3"/>
    <w:rsid w:val="00E646D7"/>
    <w:rsid w:val="00E66BE3"/>
    <w:rsid w:val="00E66C9A"/>
    <w:rsid w:val="00E71053"/>
    <w:rsid w:val="00E82A83"/>
    <w:rsid w:val="00E90C56"/>
    <w:rsid w:val="00E955B5"/>
    <w:rsid w:val="00E956FE"/>
    <w:rsid w:val="00E966E5"/>
    <w:rsid w:val="00E96DD7"/>
    <w:rsid w:val="00EA464E"/>
    <w:rsid w:val="00EA6E7B"/>
    <w:rsid w:val="00EA712F"/>
    <w:rsid w:val="00EA7248"/>
    <w:rsid w:val="00EB06F1"/>
    <w:rsid w:val="00EC05CA"/>
    <w:rsid w:val="00EC08F9"/>
    <w:rsid w:val="00EC3641"/>
    <w:rsid w:val="00EC6742"/>
    <w:rsid w:val="00ED3BDB"/>
    <w:rsid w:val="00EE1BC0"/>
    <w:rsid w:val="00EE622F"/>
    <w:rsid w:val="00EF621D"/>
    <w:rsid w:val="00F03F7A"/>
    <w:rsid w:val="00F04C73"/>
    <w:rsid w:val="00F072FC"/>
    <w:rsid w:val="00F15CAE"/>
    <w:rsid w:val="00F2454C"/>
    <w:rsid w:val="00F3468D"/>
    <w:rsid w:val="00F46D4D"/>
    <w:rsid w:val="00F53332"/>
    <w:rsid w:val="00F53A16"/>
    <w:rsid w:val="00F56A4E"/>
    <w:rsid w:val="00F56AA4"/>
    <w:rsid w:val="00F57C41"/>
    <w:rsid w:val="00F61D99"/>
    <w:rsid w:val="00F6543C"/>
    <w:rsid w:val="00F65B59"/>
    <w:rsid w:val="00F66897"/>
    <w:rsid w:val="00F73D47"/>
    <w:rsid w:val="00F744BA"/>
    <w:rsid w:val="00F87FA4"/>
    <w:rsid w:val="00F925CB"/>
    <w:rsid w:val="00F94FB3"/>
    <w:rsid w:val="00FA66BE"/>
    <w:rsid w:val="00FB1753"/>
    <w:rsid w:val="00FB428C"/>
    <w:rsid w:val="00FB678C"/>
    <w:rsid w:val="00FB7EED"/>
    <w:rsid w:val="00FC01C9"/>
    <w:rsid w:val="00FC1A03"/>
    <w:rsid w:val="00FC7481"/>
    <w:rsid w:val="00FD3D7E"/>
    <w:rsid w:val="00FD4315"/>
    <w:rsid w:val="00FD43A5"/>
    <w:rsid w:val="00FD4A2C"/>
    <w:rsid w:val="00FE5E14"/>
    <w:rsid w:val="00FF1634"/>
    <w:rsid w:val="00FF2882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2445"/>
  <w15:docId w15:val="{969353EA-0D34-4F28-8BD9-1A78D110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164"/>
  </w:style>
  <w:style w:type="paragraph" w:styleId="Footer">
    <w:name w:val="footer"/>
    <w:basedOn w:val="Normal"/>
    <w:link w:val="FooterChar"/>
    <w:uiPriority w:val="99"/>
    <w:unhideWhenUsed/>
    <w:rsid w:val="0092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64"/>
  </w:style>
  <w:style w:type="character" w:styleId="Hyperlink">
    <w:name w:val="Hyperlink"/>
    <w:basedOn w:val="DefaultParagraphFont"/>
    <w:uiPriority w:val="99"/>
    <w:rsid w:val="00922164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A23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01D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101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5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C42"/>
    <w:rPr>
      <w:b/>
      <w:bCs/>
      <w:sz w:val="20"/>
      <w:szCs w:val="20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8252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318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.aupretre@agence-mcm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e.aupretre@agence-mcm.com" TargetMode="Externa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285C-B305-4208-9155-35841C37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812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Links>
    <vt:vector size="12" baseType="variant">
      <vt:variant>
        <vt:i4>2293786</vt:i4>
      </vt:variant>
      <vt:variant>
        <vt:i4>3</vt:i4>
      </vt:variant>
      <vt:variant>
        <vt:i4>0</vt:i4>
      </vt:variant>
      <vt:variant>
        <vt:i4>5</vt:i4>
      </vt:variant>
      <vt:variant>
        <vt:lpwstr>mailto:e.aupretre@agence-mcm.com</vt:lpwstr>
      </vt:variant>
      <vt:variant>
        <vt:lpwstr/>
      </vt:variant>
      <vt:variant>
        <vt:i4>2293786</vt:i4>
      </vt:variant>
      <vt:variant>
        <vt:i4>0</vt:i4>
      </vt:variant>
      <vt:variant>
        <vt:i4>0</vt:i4>
      </vt:variant>
      <vt:variant>
        <vt:i4>5</vt:i4>
      </vt:variant>
      <vt:variant>
        <vt:lpwstr>mailto:e.aupretre@agence-mcm.com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Elodie AUPRETRE</cp:lastModifiedBy>
  <cp:revision>147</cp:revision>
  <cp:lastPrinted>2022-03-17T21:14:00Z</cp:lastPrinted>
  <dcterms:created xsi:type="dcterms:W3CDTF">2022-03-17T21:14:00Z</dcterms:created>
  <dcterms:modified xsi:type="dcterms:W3CDTF">2022-07-11T23:04:00Z</dcterms:modified>
</cp:coreProperties>
</file>